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5" w:lineRule="atLeast"/>
        <w:jc w:val="center"/>
        <w:rPr>
          <w:rFonts w:ascii="方正小标宋简体" w:hAnsi="方正小标宋简体" w:eastAsia="方正小标宋简体" w:cs="方正小标宋简体"/>
          <w:b/>
          <w:color w:val="000000"/>
          <w:kern w:val="0"/>
          <w:sz w:val="44"/>
          <w:szCs w:val="44"/>
        </w:rPr>
      </w:pPr>
      <w:r>
        <w:rPr>
          <w:rFonts w:hint="eastAsia" w:ascii="方正小标宋简体" w:hAnsi="Times New Roman" w:eastAsia="方正小标宋简体" w:cs="仿宋_GB2312"/>
          <w:color w:val="000000"/>
          <w:kern w:val="0"/>
          <w:sz w:val="44"/>
          <w:szCs w:val="44"/>
        </w:rPr>
        <w:t>双鸭山</w:t>
      </w:r>
      <w:r>
        <w:rPr>
          <w:rFonts w:hint="eastAsia" w:ascii="方正小标宋简体" w:hAnsi="方正小标宋简体" w:eastAsia="方正小标宋简体" w:cs="方正小标宋简体"/>
          <w:b/>
          <w:color w:val="000000"/>
          <w:kern w:val="0"/>
          <w:sz w:val="44"/>
          <w:szCs w:val="44"/>
        </w:rPr>
        <w:t>市宝山区人民</w:t>
      </w:r>
      <w:r>
        <w:rPr>
          <w:rFonts w:hint="eastAsia" w:ascii="方正小标宋简体" w:hAnsi="方正小标宋简体" w:eastAsia="方正小标宋简体" w:cs="方正小标宋简体"/>
          <w:b/>
          <w:color w:val="000000"/>
          <w:kern w:val="0"/>
          <w:sz w:val="44"/>
          <w:szCs w:val="44"/>
          <w:lang w:eastAsia="zh-CN"/>
        </w:rPr>
        <w:t>法院</w:t>
      </w:r>
      <w:r>
        <w:rPr>
          <w:rFonts w:hint="eastAsia" w:ascii="方正小标宋简体" w:hAnsi="Verdana" w:eastAsia="方正小标宋简体" w:cs="Verdana"/>
          <w:b/>
          <w:color w:val="000000"/>
          <w:kern w:val="0"/>
          <w:sz w:val="44"/>
          <w:szCs w:val="44"/>
        </w:rPr>
        <w:t>2018</w:t>
      </w:r>
      <w:r>
        <w:rPr>
          <w:rFonts w:hint="eastAsia" w:ascii="方正小标宋简体" w:hAnsi="方正小标宋简体" w:eastAsia="方正小标宋简体" w:cs="方正小标宋简体"/>
          <w:b/>
          <w:color w:val="000000"/>
          <w:kern w:val="0"/>
          <w:sz w:val="44"/>
          <w:szCs w:val="44"/>
        </w:rPr>
        <w:t>年部门预算及“三公”经费情况说明</w:t>
      </w:r>
    </w:p>
    <w:p>
      <w:pPr>
        <w:widowControl/>
        <w:spacing w:line="315" w:lineRule="atLeast"/>
        <w:jc w:val="center"/>
        <w:rPr>
          <w:rFonts w:ascii="黑体" w:hAnsi="黑体" w:eastAsia="黑体" w:cs="仿宋"/>
          <w:b/>
          <w:color w:val="000000"/>
          <w:kern w:val="0"/>
          <w:sz w:val="32"/>
          <w:szCs w:val="32"/>
        </w:rPr>
      </w:pPr>
      <w:r>
        <w:rPr>
          <w:rFonts w:ascii="黑体" w:hAnsi="宋体" w:eastAsia="黑体" w:cs="黑体"/>
          <w:b/>
          <w:color w:val="000000"/>
          <w:kern w:val="0"/>
          <w:sz w:val="32"/>
          <w:szCs w:val="32"/>
        </w:rPr>
        <w:t> </w:t>
      </w:r>
      <w:r>
        <w:rPr>
          <w:rFonts w:hint="eastAsia" w:ascii="黑体" w:hAnsi="黑体" w:eastAsia="黑体" w:cs="仿宋"/>
          <w:b/>
          <w:color w:val="000000"/>
          <w:kern w:val="0"/>
          <w:sz w:val="32"/>
          <w:szCs w:val="32"/>
        </w:rPr>
        <w:t>目        录</w:t>
      </w:r>
    </w:p>
    <w:p>
      <w:pPr>
        <w:widowControl/>
        <w:spacing w:line="315" w:lineRule="atLeast"/>
        <w:jc w:val="center"/>
        <w:rPr>
          <w:rFonts w:ascii="黑体" w:hAnsi="黑体" w:eastAsia="黑体" w:cs="仿宋"/>
          <w:b/>
          <w:color w:val="000000"/>
          <w:sz w:val="32"/>
          <w:szCs w:val="32"/>
        </w:rPr>
      </w:pPr>
      <w:r>
        <w:rPr>
          <w:rFonts w:hint="eastAsia" w:ascii="黑体" w:hAnsi="黑体" w:eastAsia="黑体" w:cs="仿宋"/>
          <w:b/>
          <w:color w:val="000000"/>
          <w:kern w:val="0"/>
          <w:sz w:val="32"/>
          <w:szCs w:val="32"/>
        </w:rPr>
        <w:t xml:space="preserve">第一部分   </w:t>
      </w:r>
      <w:r>
        <w:rPr>
          <w:rFonts w:hint="eastAsia" w:ascii="宋体" w:hAnsi="宋体" w:eastAsia="黑体" w:cs="宋体"/>
          <w:b/>
          <w:color w:val="000000"/>
          <w:kern w:val="0"/>
          <w:sz w:val="32"/>
          <w:szCs w:val="32"/>
        </w:rPr>
        <w:t xml:space="preserve"> </w:t>
      </w:r>
      <w:r>
        <w:rPr>
          <w:rFonts w:hint="eastAsia" w:ascii="黑体" w:hAnsi="黑体" w:eastAsia="黑体" w:cs="仿宋"/>
          <w:b/>
          <w:color w:val="000000"/>
          <w:kern w:val="0"/>
          <w:sz w:val="32"/>
          <w:szCs w:val="32"/>
        </w:rPr>
        <w:t>单位基本情况</w:t>
      </w:r>
    </w:p>
    <w:p>
      <w:pPr>
        <w:widowControl/>
        <w:spacing w:line="560" w:lineRule="atLeast"/>
        <w:ind w:firstLine="630" w:firstLineChars="196"/>
        <w:jc w:val="left"/>
        <w:rPr>
          <w:rFonts w:ascii="仿宋" w:hAnsi="仿宋" w:eastAsia="仿宋" w:cs="仿宋"/>
          <w:b/>
          <w:color w:val="000000"/>
          <w:kern w:val="0"/>
          <w:sz w:val="32"/>
          <w:szCs w:val="32"/>
        </w:rPr>
      </w:pPr>
      <w:r>
        <w:rPr>
          <w:rFonts w:hint="eastAsia" w:ascii="仿宋" w:hAnsi="仿宋" w:eastAsia="仿宋" w:cs="仿宋"/>
          <w:b/>
          <w:color w:val="000000"/>
          <w:kern w:val="0"/>
          <w:sz w:val="32"/>
          <w:szCs w:val="32"/>
        </w:rPr>
        <w:t>一、主要职责</w:t>
      </w:r>
    </w:p>
    <w:p>
      <w:pPr>
        <w:widowControl/>
        <w:spacing w:line="315" w:lineRule="atLeast"/>
        <w:ind w:firstLine="628"/>
        <w:jc w:val="left"/>
        <w:rPr>
          <w:rFonts w:ascii="仿宋" w:hAnsi="仿宋" w:eastAsia="仿宋" w:cs="仿宋"/>
          <w:b/>
          <w:color w:val="000000"/>
          <w:kern w:val="0"/>
          <w:sz w:val="32"/>
          <w:szCs w:val="32"/>
        </w:rPr>
      </w:pPr>
      <w:r>
        <w:rPr>
          <w:rFonts w:hint="eastAsia" w:ascii="仿宋" w:hAnsi="仿宋" w:eastAsia="仿宋" w:cs="仿宋"/>
          <w:b/>
          <w:color w:val="000000"/>
          <w:sz w:val="32"/>
          <w:szCs w:val="32"/>
        </w:rPr>
        <w:t>二、</w:t>
      </w:r>
      <w:r>
        <w:rPr>
          <w:rFonts w:hint="eastAsia" w:ascii="仿宋" w:hAnsi="仿宋" w:eastAsia="仿宋" w:cs="仿宋"/>
          <w:b/>
          <w:color w:val="000000"/>
          <w:kern w:val="0"/>
          <w:sz w:val="32"/>
          <w:szCs w:val="32"/>
        </w:rPr>
        <w:t>内设机构</w:t>
      </w:r>
    </w:p>
    <w:p>
      <w:pPr>
        <w:widowControl/>
        <w:spacing w:line="315" w:lineRule="atLeast"/>
        <w:ind w:firstLine="628"/>
        <w:jc w:val="left"/>
        <w:rPr>
          <w:rFonts w:ascii="仿宋" w:hAnsi="仿宋" w:eastAsia="仿宋" w:cs="仿宋"/>
          <w:b/>
          <w:color w:val="000000"/>
          <w:sz w:val="32"/>
          <w:szCs w:val="32"/>
        </w:rPr>
      </w:pPr>
      <w:r>
        <w:rPr>
          <w:rFonts w:hint="eastAsia" w:ascii="仿宋" w:hAnsi="仿宋" w:eastAsia="仿宋" w:cs="仿宋"/>
          <w:b/>
          <w:color w:val="000000"/>
          <w:sz w:val="32"/>
          <w:szCs w:val="32"/>
        </w:rPr>
        <w:t>三、人员构成情况</w:t>
      </w:r>
    </w:p>
    <w:p>
      <w:pPr>
        <w:widowControl/>
        <w:spacing w:line="315" w:lineRule="atLeast"/>
        <w:ind w:firstLine="628"/>
        <w:jc w:val="left"/>
        <w:rPr>
          <w:rStyle w:val="7"/>
          <w:color w:val="3E3E3E"/>
        </w:rPr>
      </w:pPr>
      <w:r>
        <w:rPr>
          <w:rFonts w:hint="eastAsia" w:ascii="仿宋" w:hAnsi="仿宋" w:eastAsia="仿宋" w:cs="仿宋"/>
          <w:color w:val="000000"/>
          <w:sz w:val="32"/>
          <w:szCs w:val="32"/>
        </w:rPr>
        <w:t>四、</w:t>
      </w:r>
      <w:r>
        <w:rPr>
          <w:rStyle w:val="7"/>
          <w:rFonts w:hint="eastAsia" w:ascii="仿宋" w:hAnsi="仿宋" w:eastAsia="仿宋" w:cs="仿宋"/>
          <w:color w:val="3E3E3E"/>
          <w:sz w:val="32"/>
          <w:szCs w:val="32"/>
        </w:rPr>
        <w:t>2018年预算编制范围</w:t>
      </w:r>
    </w:p>
    <w:p>
      <w:pPr>
        <w:widowControl/>
        <w:spacing w:line="315" w:lineRule="atLeast"/>
        <w:ind w:left="2891" w:hanging="2891" w:hangingChars="900"/>
        <w:jc w:val="center"/>
        <w:rPr>
          <w:rFonts w:ascii="黑体" w:hAnsi="黑体" w:eastAsia="黑体" w:cs="仿宋"/>
          <w:b/>
          <w:color w:val="000000"/>
          <w:kern w:val="0"/>
          <w:sz w:val="32"/>
          <w:szCs w:val="32"/>
        </w:rPr>
      </w:pPr>
      <w:r>
        <w:rPr>
          <w:rFonts w:hint="eastAsia" w:ascii="黑体" w:hAnsi="黑体" w:eastAsia="黑体" w:cs="仿宋"/>
          <w:b/>
          <w:color w:val="000000"/>
          <w:kern w:val="0"/>
          <w:sz w:val="32"/>
          <w:szCs w:val="32"/>
        </w:rPr>
        <w:t xml:space="preserve">第二部分  </w:t>
      </w:r>
      <w:r>
        <w:rPr>
          <w:rFonts w:hint="eastAsia" w:ascii="黑体" w:hAnsi="黑体" w:eastAsia="黑体" w:cs="宋体"/>
          <w:b/>
          <w:color w:val="000000"/>
          <w:kern w:val="0"/>
          <w:sz w:val="32"/>
          <w:szCs w:val="32"/>
        </w:rPr>
        <w:t>双鸭山市宝山区</w:t>
      </w:r>
      <w:r>
        <w:rPr>
          <w:rFonts w:hint="eastAsia" w:ascii="黑体" w:hAnsi="黑体" w:eastAsia="黑体" w:cs="宋体"/>
          <w:b/>
          <w:color w:val="000000"/>
          <w:kern w:val="0"/>
          <w:sz w:val="32"/>
          <w:szCs w:val="32"/>
          <w:lang w:eastAsia="zh-CN"/>
        </w:rPr>
        <w:t>人民法院</w:t>
      </w:r>
      <w:r>
        <w:rPr>
          <w:rFonts w:hint="eastAsia" w:ascii="黑体" w:hAnsi="黑体" w:eastAsia="黑体" w:cs="仿宋"/>
          <w:b/>
          <w:color w:val="000000"/>
          <w:kern w:val="0"/>
          <w:sz w:val="32"/>
          <w:szCs w:val="32"/>
        </w:rPr>
        <w:t>2018年部门预算表及“三公”经费预算表</w:t>
      </w:r>
    </w:p>
    <w:p>
      <w:pPr>
        <w:widowControl/>
        <w:spacing w:line="315" w:lineRule="atLeast"/>
        <w:ind w:left="2891" w:hanging="2891" w:hangingChars="900"/>
        <w:jc w:val="center"/>
        <w:rPr>
          <w:rFonts w:ascii="黑体" w:hAnsi="黑体" w:eastAsia="黑体"/>
          <w:b/>
          <w:color w:val="000000"/>
          <w:kern w:val="0"/>
        </w:rPr>
      </w:pPr>
      <w:r>
        <w:rPr>
          <w:rFonts w:hint="eastAsia" w:ascii="黑体" w:hAnsi="黑体" w:eastAsia="黑体" w:cs="仿宋"/>
          <w:b/>
          <w:color w:val="000000"/>
          <w:kern w:val="0"/>
          <w:sz w:val="32"/>
          <w:szCs w:val="32"/>
        </w:rPr>
        <w:t>（见附件）</w:t>
      </w:r>
    </w:p>
    <w:p>
      <w:pPr>
        <w:widowControl/>
        <w:spacing w:line="315" w:lineRule="atLeast"/>
        <w:ind w:left="2891" w:hanging="2891" w:hangingChars="900"/>
        <w:rPr>
          <w:rFonts w:ascii="黑体" w:hAnsi="黑体" w:eastAsia="黑体" w:cs="仿宋"/>
          <w:b/>
          <w:color w:val="000000"/>
          <w:sz w:val="32"/>
          <w:szCs w:val="32"/>
        </w:rPr>
      </w:pPr>
      <w:r>
        <w:rPr>
          <w:rFonts w:hint="eastAsia" w:ascii="黑体" w:hAnsi="黑体" w:eastAsia="黑体" w:cs="仿宋"/>
          <w:b/>
          <w:color w:val="000000"/>
          <w:kern w:val="0"/>
          <w:sz w:val="32"/>
          <w:szCs w:val="32"/>
        </w:rPr>
        <w:t xml:space="preserve">第三部分  </w:t>
      </w:r>
      <w:r>
        <w:rPr>
          <w:rFonts w:hint="eastAsia" w:ascii="黑体" w:hAnsi="黑体" w:eastAsia="黑体" w:cs="宋体"/>
          <w:b/>
          <w:color w:val="000000"/>
          <w:kern w:val="0"/>
          <w:sz w:val="32"/>
          <w:szCs w:val="32"/>
        </w:rPr>
        <w:t>双鸭山宝山区人民</w:t>
      </w:r>
      <w:r>
        <w:rPr>
          <w:rFonts w:hint="eastAsia" w:ascii="黑体" w:hAnsi="黑体" w:eastAsia="黑体" w:cs="宋体"/>
          <w:b/>
          <w:color w:val="000000"/>
          <w:kern w:val="0"/>
          <w:sz w:val="32"/>
          <w:szCs w:val="32"/>
          <w:lang w:eastAsia="zh-CN"/>
        </w:rPr>
        <w:t>法院</w:t>
      </w:r>
      <w:r>
        <w:rPr>
          <w:rFonts w:hint="eastAsia" w:ascii="黑体" w:hAnsi="黑体" w:eastAsia="黑体" w:cs="仿宋"/>
          <w:b/>
          <w:color w:val="000000"/>
          <w:kern w:val="0"/>
          <w:sz w:val="32"/>
          <w:szCs w:val="32"/>
        </w:rPr>
        <w:t>2018年部门预算及“三公”经费预算情况说明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一、关于</w:t>
      </w:r>
      <w:r>
        <w:rPr>
          <w:rFonts w:hint="eastAsia" w:ascii="仿宋" w:hAnsi="仿宋" w:eastAsia="仿宋" w:cs="仿宋"/>
          <w:b/>
          <w:color w:val="000000"/>
          <w:kern w:val="0"/>
          <w:sz w:val="32"/>
          <w:szCs w:val="32"/>
        </w:rPr>
        <w:t>部门预算收支总表的说明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二、关于部门收入总表的说明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三、关于部门支出总表的说明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四、关于财政拨款收支总表的说明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五、关于一般公共预算功能分类支出表的说明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六、关于部门一般公共预算部门经济分类支出表的说明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七、关于部门一般公共预算政府经济分类支出表的说明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八、关于政府性基金预算功能分类支出表的说明</w:t>
      </w:r>
    </w:p>
    <w:p>
      <w:pPr>
        <w:widowControl/>
        <w:spacing w:line="315" w:lineRule="atLeast"/>
        <w:ind w:firstLine="643"/>
        <w:jc w:val="left"/>
        <w:rPr>
          <w:rFonts w:ascii="仿宋" w:hAnsi="仿宋" w:eastAsia="仿宋" w:cs="仿宋"/>
          <w:b/>
          <w:color w:val="000000"/>
          <w:sz w:val="32"/>
          <w:szCs w:val="32"/>
        </w:rPr>
      </w:pPr>
      <w:r>
        <w:rPr>
          <w:rFonts w:hint="eastAsia" w:ascii="仿宋" w:hAnsi="仿宋" w:eastAsia="仿宋" w:cs="仿宋"/>
          <w:b/>
          <w:color w:val="2B2B2B"/>
          <w:kern w:val="0"/>
          <w:sz w:val="32"/>
          <w:szCs w:val="32"/>
        </w:rPr>
        <w:t>九、关于政府性基金预算经济分类支出表的说明</w:t>
      </w:r>
    </w:p>
    <w:p>
      <w:pPr>
        <w:widowControl/>
        <w:spacing w:line="315" w:lineRule="atLeast"/>
        <w:ind w:firstLine="643"/>
        <w:jc w:val="left"/>
        <w:rPr>
          <w:rFonts w:ascii="仿宋" w:hAnsi="仿宋" w:eastAsia="仿宋" w:cs="仿宋"/>
          <w:b/>
          <w:color w:val="2B2B2B"/>
          <w:kern w:val="0"/>
          <w:sz w:val="32"/>
          <w:szCs w:val="32"/>
        </w:rPr>
      </w:pPr>
      <w:r>
        <w:rPr>
          <w:rFonts w:hint="eastAsia" w:ascii="仿宋" w:hAnsi="仿宋" w:eastAsia="仿宋" w:cs="仿宋"/>
          <w:b/>
          <w:color w:val="2B2B2B"/>
          <w:kern w:val="0"/>
          <w:sz w:val="32"/>
          <w:szCs w:val="32"/>
        </w:rPr>
        <w:t>十、关于 “三公”经费支出表的说明</w:t>
      </w:r>
    </w:p>
    <w:p>
      <w:pPr>
        <w:widowControl/>
        <w:spacing w:line="315" w:lineRule="atLeast"/>
        <w:ind w:firstLine="643"/>
        <w:jc w:val="left"/>
        <w:rPr>
          <w:rFonts w:ascii="仿宋" w:hAnsi="仿宋" w:eastAsia="仿宋" w:cs="仿宋"/>
          <w:b/>
          <w:color w:val="2B2B2B"/>
          <w:kern w:val="0"/>
          <w:sz w:val="32"/>
          <w:szCs w:val="32"/>
        </w:rPr>
      </w:pPr>
      <w:r>
        <w:rPr>
          <w:rFonts w:hint="eastAsia" w:ascii="仿宋" w:hAnsi="仿宋" w:eastAsia="仿宋" w:cs="仿宋"/>
          <w:b/>
          <w:color w:val="2B2B2B"/>
          <w:kern w:val="0"/>
          <w:sz w:val="32"/>
          <w:szCs w:val="32"/>
        </w:rPr>
        <w:t>十一、机关运行经费安排情况说明</w:t>
      </w:r>
    </w:p>
    <w:p>
      <w:pPr>
        <w:pStyle w:val="5"/>
        <w:spacing w:before="0" w:beforeAutospacing="0" w:after="0" w:afterAutospacing="0" w:line="560" w:lineRule="exact"/>
        <w:ind w:firstLine="645"/>
        <w:rPr>
          <w:rFonts w:ascii="仿宋" w:hAnsi="仿宋" w:eastAsia="仿宋" w:cs="仿宋"/>
          <w:color w:val="000000"/>
          <w:sz w:val="32"/>
          <w:szCs w:val="32"/>
        </w:rPr>
      </w:pPr>
      <w:r>
        <w:rPr>
          <w:rFonts w:hint="eastAsia" w:ascii="仿宋" w:hAnsi="仿宋" w:eastAsia="仿宋" w:cs="仿宋"/>
          <w:b/>
          <w:color w:val="2B2B2B"/>
          <w:sz w:val="32"/>
          <w:szCs w:val="32"/>
        </w:rPr>
        <w:t>十二、关于政府采购支出情况说明</w:t>
      </w:r>
    </w:p>
    <w:p>
      <w:pPr>
        <w:widowControl/>
        <w:spacing w:line="315" w:lineRule="atLeast"/>
        <w:ind w:firstLine="640"/>
        <w:jc w:val="left"/>
        <w:rPr>
          <w:rFonts w:ascii="仿宋" w:hAnsi="仿宋" w:eastAsia="仿宋" w:cs="仿宋"/>
          <w:color w:val="000000"/>
          <w:kern w:val="0"/>
          <w:sz w:val="32"/>
          <w:szCs w:val="32"/>
        </w:rPr>
      </w:pPr>
      <w:r>
        <w:rPr>
          <w:rFonts w:hint="eastAsia" w:ascii="仿宋" w:hAnsi="仿宋" w:eastAsia="仿宋" w:cs="仿宋"/>
          <w:b/>
          <w:color w:val="2B2B2B"/>
          <w:kern w:val="0"/>
          <w:sz w:val="32"/>
          <w:szCs w:val="32"/>
        </w:rPr>
        <w:t>十三、关于国有资产占有使用情况说明</w:t>
      </w:r>
    </w:p>
    <w:p>
      <w:pPr>
        <w:widowControl/>
        <w:spacing w:line="315" w:lineRule="atLeast"/>
        <w:ind w:firstLine="643"/>
        <w:jc w:val="left"/>
        <w:rPr>
          <w:rFonts w:ascii="仿宋" w:hAnsi="仿宋" w:eastAsia="仿宋" w:cs="仿宋"/>
          <w:b/>
          <w:color w:val="2B2B2B"/>
          <w:kern w:val="0"/>
          <w:sz w:val="32"/>
          <w:szCs w:val="32"/>
        </w:rPr>
      </w:pPr>
      <w:r>
        <w:rPr>
          <w:rFonts w:hint="eastAsia" w:ascii="仿宋" w:hAnsi="仿宋" w:eastAsia="仿宋" w:cs="仿宋"/>
          <w:b/>
          <w:color w:val="2B2B2B"/>
          <w:kern w:val="0"/>
          <w:sz w:val="32"/>
          <w:szCs w:val="32"/>
        </w:rPr>
        <w:t>十四、关于绩效评价情况说明</w:t>
      </w:r>
    </w:p>
    <w:p>
      <w:pPr>
        <w:widowControl/>
        <w:spacing w:line="315" w:lineRule="atLeast"/>
        <w:jc w:val="center"/>
        <w:rPr>
          <w:rFonts w:ascii="黑体" w:hAnsi="黑体" w:eastAsia="黑体" w:cs="仿宋"/>
          <w:b/>
          <w:color w:val="000000"/>
          <w:kern w:val="0"/>
          <w:sz w:val="32"/>
          <w:szCs w:val="32"/>
        </w:rPr>
      </w:pPr>
      <w:r>
        <w:rPr>
          <w:rFonts w:hint="eastAsia" w:ascii="黑体" w:hAnsi="黑体" w:eastAsia="黑体" w:cs="仿宋"/>
          <w:b/>
          <w:color w:val="000000"/>
          <w:kern w:val="0"/>
          <w:sz w:val="32"/>
          <w:szCs w:val="32"/>
        </w:rPr>
        <w:t>第四部分</w:t>
      </w:r>
      <w:r>
        <w:rPr>
          <w:rFonts w:hint="eastAsia" w:ascii="宋体" w:hAnsi="宋体" w:eastAsia="黑体" w:cs="宋体"/>
          <w:b/>
          <w:color w:val="000000"/>
          <w:kern w:val="0"/>
          <w:sz w:val="32"/>
          <w:szCs w:val="32"/>
        </w:rPr>
        <w:t xml:space="preserve">      </w:t>
      </w:r>
      <w:r>
        <w:rPr>
          <w:rFonts w:hint="eastAsia" w:ascii="黑体" w:hAnsi="黑体" w:eastAsia="黑体" w:cs="仿宋"/>
          <w:b/>
          <w:color w:val="000000"/>
          <w:kern w:val="0"/>
          <w:sz w:val="32"/>
          <w:szCs w:val="32"/>
        </w:rPr>
        <w:t>名词解释</w:t>
      </w:r>
    </w:p>
    <w:p>
      <w:pPr>
        <w:widowControl/>
        <w:spacing w:line="315" w:lineRule="atLeast"/>
        <w:rPr>
          <w:rFonts w:ascii="Times New Roman" w:hAnsi="Times New Roman"/>
          <w:color w:val="000000"/>
          <w:szCs w:val="21"/>
        </w:rPr>
      </w:pPr>
    </w:p>
    <w:p>
      <w:pPr>
        <w:widowControl/>
        <w:spacing w:line="315" w:lineRule="atLeast"/>
        <w:rPr>
          <w:rFonts w:ascii="Times New Roman" w:hAnsi="Times New Roman"/>
          <w:color w:val="000000"/>
          <w:szCs w:val="21"/>
        </w:rPr>
      </w:pPr>
    </w:p>
    <w:p>
      <w:pPr>
        <w:widowControl/>
        <w:spacing w:line="315" w:lineRule="atLeast"/>
        <w:rPr>
          <w:rFonts w:ascii="Times New Roman" w:hAnsi="Times New Roman"/>
          <w:color w:val="000000"/>
          <w:szCs w:val="21"/>
        </w:rPr>
      </w:pPr>
    </w:p>
    <w:p>
      <w:pPr>
        <w:widowControl/>
        <w:spacing w:line="315" w:lineRule="atLeast"/>
        <w:rPr>
          <w:rFonts w:ascii="Times New Roman" w:hAnsi="Times New Roman"/>
          <w:color w:val="000000"/>
          <w:szCs w:val="21"/>
        </w:rPr>
      </w:pPr>
    </w:p>
    <w:p>
      <w:pPr>
        <w:widowControl/>
        <w:spacing w:line="315" w:lineRule="atLeast"/>
        <w:rPr>
          <w:rFonts w:ascii="Times New Roman" w:hAnsi="Times New Roman"/>
          <w:color w:val="000000"/>
          <w:szCs w:val="21"/>
        </w:rPr>
      </w:pPr>
    </w:p>
    <w:p>
      <w:pPr>
        <w:widowControl/>
        <w:spacing w:line="315" w:lineRule="atLeast"/>
        <w:rPr>
          <w:rFonts w:ascii="Times New Roman" w:hAnsi="Times New Roman"/>
          <w:color w:val="000000"/>
          <w:szCs w:val="21"/>
        </w:rPr>
      </w:pPr>
    </w:p>
    <w:p>
      <w:pPr>
        <w:widowControl/>
        <w:spacing w:line="315" w:lineRule="atLeast"/>
        <w:jc w:val="center"/>
        <w:rPr>
          <w:rFonts w:ascii="黑体" w:hAnsi="黑体" w:eastAsia="黑体"/>
          <w:b/>
          <w:color w:val="000000"/>
          <w:sz w:val="32"/>
          <w:szCs w:val="32"/>
        </w:rPr>
      </w:pPr>
      <w:r>
        <w:rPr>
          <w:rFonts w:hint="eastAsia" w:ascii="黑体" w:hAnsi="黑体" w:eastAsia="黑体" w:cs="黑体"/>
          <w:b/>
          <w:color w:val="000000"/>
          <w:kern w:val="0"/>
          <w:sz w:val="32"/>
          <w:szCs w:val="32"/>
        </w:rPr>
        <w:t>第一部分</w:t>
      </w:r>
      <w:r>
        <w:rPr>
          <w:rFonts w:ascii="Verdana" w:hAnsi="Verdana" w:eastAsia="黑体" w:cs="Verdana"/>
          <w:b/>
          <w:color w:val="000000"/>
          <w:kern w:val="0"/>
          <w:sz w:val="32"/>
          <w:szCs w:val="32"/>
        </w:rPr>
        <w:t>   </w:t>
      </w:r>
      <w:r>
        <w:rPr>
          <w:rFonts w:hint="eastAsia" w:ascii="黑体" w:hAnsi="黑体" w:eastAsia="黑体" w:cs="黑体"/>
          <w:b/>
          <w:color w:val="000000"/>
          <w:kern w:val="0"/>
          <w:sz w:val="32"/>
          <w:szCs w:val="32"/>
        </w:rPr>
        <w:t>单位基本情况</w:t>
      </w:r>
    </w:p>
    <w:p>
      <w:pPr>
        <w:widowControl/>
        <w:spacing w:line="560" w:lineRule="atLeast"/>
        <w:ind w:firstLine="630" w:firstLineChars="196"/>
        <w:rPr>
          <w:rFonts w:ascii="黑体" w:hAnsi="黑体" w:eastAsia="黑体" w:cs="楷体_GB2312"/>
          <w:b/>
          <w:color w:val="000000"/>
          <w:kern w:val="0"/>
          <w:sz w:val="32"/>
          <w:szCs w:val="32"/>
        </w:rPr>
      </w:pPr>
      <w:r>
        <w:rPr>
          <w:rFonts w:hint="eastAsia" w:ascii="黑体" w:hAnsi="黑体" w:eastAsia="黑体" w:cs="楷体_GB2312"/>
          <w:b/>
          <w:color w:val="000000"/>
          <w:kern w:val="0"/>
          <w:sz w:val="32"/>
          <w:szCs w:val="32"/>
        </w:rPr>
        <w:t>一、</w:t>
      </w:r>
      <w:r>
        <w:rPr>
          <w:rFonts w:ascii="黑体" w:hAnsi="黑体" w:eastAsia="黑体" w:cs="楷体_GB2312"/>
          <w:b/>
          <w:color w:val="000000"/>
          <w:kern w:val="0"/>
          <w:sz w:val="32"/>
          <w:szCs w:val="32"/>
        </w:rPr>
        <w:t>主要职责</w:t>
      </w:r>
    </w:p>
    <w:p>
      <w:pPr>
        <w:widowControl/>
        <w:spacing w:line="528"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（一）审判法律规定、上级人民法院指定由区法院管辖以及区法院认为应当由自己审判的刑事、民事、行政等第一审案件。</w:t>
      </w:r>
    </w:p>
    <w:p>
      <w:pPr>
        <w:widowControl/>
        <w:spacing w:line="528"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（二）审查处理不服本院判决各类申诉和申请再审案件。</w:t>
      </w:r>
    </w:p>
    <w:p>
      <w:pPr>
        <w:widowControl/>
        <w:spacing w:line="528"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（三）监督、指导人民法庭的审判工作。</w:t>
      </w:r>
    </w:p>
    <w:p>
      <w:pPr>
        <w:widowControl/>
        <w:spacing w:line="528"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（四）依法行使司法执行权和司法决定权。</w:t>
      </w:r>
    </w:p>
    <w:p>
      <w:pPr>
        <w:widowControl/>
        <w:spacing w:line="528"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（五）依法决定国家赔偿。</w:t>
      </w:r>
    </w:p>
    <w:p>
      <w:pPr>
        <w:widowControl/>
        <w:spacing w:line="528"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（六）管理、协调本院的审判和执行工作。</w:t>
      </w:r>
    </w:p>
    <w:p>
      <w:pPr>
        <w:widowControl/>
        <w:spacing w:line="528" w:lineRule="auto"/>
        <w:ind w:firstLine="480" w:firstLineChars="150"/>
        <w:jc w:val="left"/>
        <w:rPr>
          <w:rFonts w:ascii="仿宋" w:hAnsi="仿宋" w:eastAsia="仿宋" w:cs="宋体"/>
          <w:kern w:val="0"/>
          <w:sz w:val="32"/>
          <w:szCs w:val="32"/>
        </w:rPr>
      </w:pPr>
      <w:r>
        <w:rPr>
          <w:rFonts w:hint="eastAsia" w:ascii="仿宋" w:hAnsi="仿宋" w:eastAsia="仿宋" w:cs="宋体"/>
          <w:kern w:val="0"/>
          <w:sz w:val="32"/>
          <w:szCs w:val="32"/>
        </w:rPr>
        <w:t>（七）负责全院思想政治、教育培训工作；按照权限管理法官和其他人员；主管本法院的监察工作；领导院直属单位和社团工作。</w:t>
      </w:r>
    </w:p>
    <w:p>
      <w:pPr>
        <w:widowControl/>
        <w:spacing w:line="528" w:lineRule="auto"/>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（八）管理本法院的有关经费和物资装备。</w:t>
      </w:r>
    </w:p>
    <w:p>
      <w:pPr>
        <w:widowControl/>
        <w:spacing w:line="528" w:lineRule="auto"/>
        <w:ind w:firstLine="320" w:firstLineChars="100"/>
        <w:jc w:val="left"/>
        <w:rPr>
          <w:rFonts w:ascii="仿宋" w:hAnsi="仿宋" w:eastAsia="仿宋" w:cs="宋体"/>
          <w:kern w:val="0"/>
          <w:sz w:val="32"/>
          <w:szCs w:val="32"/>
        </w:rPr>
      </w:pPr>
      <w:r>
        <w:rPr>
          <w:rFonts w:hint="eastAsia" w:ascii="仿宋" w:hAnsi="仿宋" w:eastAsia="仿宋" w:cs="宋体"/>
          <w:kern w:val="0"/>
          <w:sz w:val="32"/>
          <w:szCs w:val="32"/>
        </w:rPr>
        <w:t>（九）结合审判工作宣传法制，教育公民遵守宪法和法律。</w:t>
      </w:r>
    </w:p>
    <w:p>
      <w:pPr>
        <w:widowControl/>
        <w:spacing w:line="528" w:lineRule="auto"/>
        <w:ind w:firstLine="320" w:firstLineChars="100"/>
        <w:jc w:val="left"/>
        <w:rPr>
          <w:rFonts w:hint="eastAsia" w:ascii="仿宋" w:hAnsi="仿宋" w:eastAsia="仿宋" w:cs="宋体"/>
          <w:kern w:val="0"/>
          <w:sz w:val="32"/>
          <w:szCs w:val="32"/>
        </w:rPr>
      </w:pPr>
      <w:r>
        <w:rPr>
          <w:rFonts w:hint="eastAsia" w:ascii="仿宋" w:hAnsi="仿宋" w:eastAsia="仿宋" w:cs="宋体"/>
          <w:kern w:val="0"/>
          <w:sz w:val="32"/>
          <w:szCs w:val="32"/>
        </w:rPr>
        <w:t>（十）承办其他应由本院负责的工作。</w:t>
      </w:r>
    </w:p>
    <w:p>
      <w:pPr>
        <w:widowControl/>
        <w:spacing w:line="315" w:lineRule="atLeast"/>
        <w:ind w:firstLine="628"/>
        <w:rPr>
          <w:rFonts w:ascii="黑体" w:hAnsi="黑体" w:eastAsia="黑体" w:cs="楷体_GB2312"/>
          <w:b/>
          <w:color w:val="000000"/>
          <w:kern w:val="0"/>
          <w:sz w:val="32"/>
          <w:szCs w:val="32"/>
        </w:rPr>
      </w:pPr>
      <w:r>
        <w:rPr>
          <w:rFonts w:hint="eastAsia" w:ascii="黑体" w:hAnsi="黑体" w:eastAsia="黑体"/>
          <w:b/>
          <w:color w:val="000000"/>
          <w:sz w:val="32"/>
          <w:szCs w:val="32"/>
        </w:rPr>
        <w:t>二、</w:t>
      </w:r>
      <w:r>
        <w:rPr>
          <w:rFonts w:hint="eastAsia" w:ascii="黑体" w:hAnsi="黑体" w:eastAsia="黑体" w:cs="楷体_GB2312"/>
          <w:b/>
          <w:color w:val="000000"/>
          <w:kern w:val="0"/>
          <w:sz w:val="32"/>
          <w:szCs w:val="32"/>
        </w:rPr>
        <w:t>内设机构</w:t>
      </w:r>
    </w:p>
    <w:p>
      <w:pPr>
        <w:rPr>
          <w:rFonts w:cs="宋体"/>
          <w:szCs w:val="21"/>
        </w:rPr>
      </w:pPr>
      <w:r>
        <w:rPr>
          <w:rFonts w:hint="eastAsia" w:ascii="仿宋" w:hAnsi="仿宋" w:eastAsia="仿宋" w:cs="宋体"/>
          <w:kern w:val="0"/>
          <w:sz w:val="32"/>
          <w:szCs w:val="32"/>
        </w:rPr>
        <w:t>2018年双鸭山市宝山区人民</w:t>
      </w:r>
      <w:r>
        <w:rPr>
          <w:rFonts w:hint="eastAsia" w:ascii="仿宋" w:hAnsi="仿宋" w:eastAsia="仿宋" w:cs="宋体"/>
          <w:kern w:val="0"/>
          <w:sz w:val="32"/>
          <w:szCs w:val="32"/>
          <w:lang w:eastAsia="zh-CN"/>
        </w:rPr>
        <w:t>法院</w:t>
      </w:r>
      <w:r>
        <w:rPr>
          <w:rFonts w:hint="eastAsia" w:ascii="仿宋" w:hAnsi="仿宋" w:eastAsia="仿宋" w:cs="宋体"/>
          <w:kern w:val="0"/>
          <w:sz w:val="32"/>
          <w:szCs w:val="32"/>
        </w:rPr>
        <w:t>无内设机构。</w:t>
      </w:r>
    </w:p>
    <w:p>
      <w:pPr>
        <w:widowControl/>
        <w:spacing w:line="315" w:lineRule="atLeast"/>
        <w:ind w:firstLine="628"/>
        <w:rPr>
          <w:rFonts w:ascii="黑体" w:hAnsi="黑体" w:eastAsia="黑体"/>
          <w:b/>
          <w:color w:val="000000"/>
          <w:sz w:val="32"/>
          <w:szCs w:val="32"/>
        </w:rPr>
      </w:pPr>
      <w:r>
        <w:rPr>
          <w:rFonts w:hint="eastAsia" w:ascii="黑体" w:hAnsi="黑体" w:eastAsia="黑体"/>
          <w:b/>
          <w:color w:val="000000"/>
          <w:sz w:val="32"/>
          <w:szCs w:val="32"/>
        </w:rPr>
        <w:t>三、人员构成情况</w:t>
      </w:r>
    </w:p>
    <w:p>
      <w:pPr>
        <w:rPr>
          <w:rFonts w:cs="宋体"/>
          <w:szCs w:val="21"/>
        </w:rPr>
      </w:pPr>
      <w:r>
        <w:rPr>
          <w:rFonts w:hint="eastAsia" w:ascii="仿宋" w:hAnsi="仿宋" w:eastAsia="仿宋" w:cs="宋体"/>
          <w:color w:val="000000"/>
          <w:kern w:val="0"/>
          <w:sz w:val="32"/>
          <w:szCs w:val="32"/>
        </w:rPr>
        <w:t>双鸭山市宝山区</w:t>
      </w:r>
      <w:r>
        <w:rPr>
          <w:rFonts w:hint="eastAsia" w:ascii="仿宋" w:hAnsi="仿宋" w:eastAsia="仿宋" w:cs="宋体"/>
          <w:color w:val="000000"/>
          <w:kern w:val="0"/>
          <w:sz w:val="32"/>
          <w:szCs w:val="32"/>
          <w:lang w:eastAsia="zh-CN"/>
        </w:rPr>
        <w:t>人民法院</w:t>
      </w:r>
    </w:p>
    <w:p>
      <w:pPr>
        <w:widowControl/>
        <w:spacing w:line="315" w:lineRule="atLeast"/>
        <w:ind w:firstLine="628"/>
        <w:rPr>
          <w:rFonts w:ascii="仿宋" w:hAnsi="仿宋" w:eastAsia="仿宋"/>
          <w:color w:val="000000"/>
          <w:sz w:val="32"/>
          <w:szCs w:val="32"/>
        </w:rPr>
      </w:pPr>
      <w:r>
        <w:rPr>
          <w:rFonts w:hint="eastAsia" w:ascii="仿宋" w:hAnsi="仿宋" w:eastAsia="仿宋" w:cs="宋体"/>
          <w:color w:val="000000"/>
          <w:kern w:val="0"/>
          <w:sz w:val="32"/>
          <w:szCs w:val="32"/>
        </w:rPr>
        <w:t>总人数</w:t>
      </w:r>
      <w:r>
        <w:rPr>
          <w:rFonts w:hint="eastAsia" w:ascii="仿宋" w:hAnsi="仿宋" w:eastAsia="仿宋" w:cs="宋体"/>
          <w:color w:val="000000"/>
          <w:kern w:val="0"/>
          <w:sz w:val="32"/>
          <w:szCs w:val="32"/>
          <w:lang w:val="en-US" w:eastAsia="zh-CN"/>
        </w:rPr>
        <w:t>42</w:t>
      </w:r>
      <w:r>
        <w:rPr>
          <w:rFonts w:hint="eastAsia" w:ascii="仿宋" w:hAnsi="仿宋" w:eastAsia="仿宋" w:cs="宋体"/>
          <w:color w:val="000000"/>
          <w:kern w:val="0"/>
          <w:sz w:val="32"/>
          <w:szCs w:val="32"/>
        </w:rPr>
        <w:t>人，其中：在职职工</w:t>
      </w:r>
      <w:r>
        <w:rPr>
          <w:rFonts w:hint="eastAsia" w:ascii="仿宋" w:hAnsi="仿宋" w:eastAsia="仿宋" w:cs="宋体"/>
          <w:color w:val="000000"/>
          <w:kern w:val="0"/>
          <w:sz w:val="32"/>
          <w:szCs w:val="32"/>
          <w:lang w:val="en-US" w:eastAsia="zh-CN"/>
        </w:rPr>
        <w:t>35</w:t>
      </w:r>
      <w:r>
        <w:rPr>
          <w:rFonts w:hint="eastAsia" w:ascii="仿宋" w:hAnsi="仿宋" w:eastAsia="仿宋" w:cs="宋体"/>
          <w:color w:val="000000"/>
          <w:kern w:val="0"/>
          <w:sz w:val="32"/>
          <w:szCs w:val="32"/>
        </w:rPr>
        <w:t>人，退休人员</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人。</w:t>
      </w:r>
      <w:r>
        <w:rPr>
          <w:rFonts w:ascii="仿宋" w:hAnsi="仿宋" w:eastAsia="仿宋"/>
          <w:color w:val="000000"/>
          <w:sz w:val="32"/>
          <w:szCs w:val="32"/>
        </w:rPr>
        <w:t xml:space="preserve"> </w:t>
      </w:r>
    </w:p>
    <w:p>
      <w:pPr>
        <w:widowControl/>
        <w:spacing w:line="315" w:lineRule="atLeast"/>
        <w:ind w:firstLine="628"/>
        <w:rPr>
          <w:rStyle w:val="7"/>
          <w:rFonts w:ascii="黑体" w:hAnsi="黑体" w:eastAsia="黑体"/>
          <w:color w:val="3E3E3E"/>
          <w:sz w:val="32"/>
          <w:szCs w:val="32"/>
        </w:rPr>
      </w:pPr>
      <w:r>
        <w:rPr>
          <w:rFonts w:hint="eastAsia" w:ascii="黑体" w:hAnsi="黑体" w:eastAsia="黑体"/>
          <w:color w:val="000000"/>
          <w:sz w:val="32"/>
          <w:szCs w:val="32"/>
        </w:rPr>
        <w:t>四、</w:t>
      </w:r>
      <w:r>
        <w:rPr>
          <w:rStyle w:val="7"/>
          <w:rFonts w:hint="eastAsia" w:ascii="黑体" w:hAnsi="黑体" w:eastAsia="黑体"/>
          <w:color w:val="3E3E3E"/>
          <w:sz w:val="32"/>
          <w:szCs w:val="32"/>
        </w:rPr>
        <w:t>2018年预算编制范围</w:t>
      </w:r>
    </w:p>
    <w:p>
      <w:pPr>
        <w:rPr>
          <w:rFonts w:cs="宋体"/>
          <w:szCs w:val="21"/>
        </w:rPr>
      </w:pPr>
      <w:r>
        <w:rPr>
          <w:rFonts w:hint="eastAsia" w:ascii="仿宋" w:hAnsi="仿宋" w:eastAsia="仿宋" w:cs="宋体"/>
          <w:color w:val="000000"/>
          <w:kern w:val="0"/>
          <w:sz w:val="32"/>
          <w:szCs w:val="32"/>
        </w:rPr>
        <w:t>2018年纳入双鸭山市宝山区人民</w:t>
      </w:r>
      <w:r>
        <w:rPr>
          <w:rFonts w:hint="eastAsia" w:ascii="仿宋" w:hAnsi="仿宋" w:eastAsia="仿宋" w:cs="宋体"/>
          <w:color w:val="000000"/>
          <w:kern w:val="0"/>
          <w:sz w:val="32"/>
          <w:szCs w:val="32"/>
          <w:lang w:eastAsia="zh-CN"/>
        </w:rPr>
        <w:t>法院</w:t>
      </w:r>
      <w:r>
        <w:rPr>
          <w:rFonts w:hint="eastAsia" w:ascii="仿宋" w:hAnsi="仿宋" w:eastAsia="仿宋" w:cs="宋体"/>
          <w:color w:val="000000"/>
          <w:kern w:val="0"/>
          <w:sz w:val="32"/>
          <w:szCs w:val="32"/>
        </w:rPr>
        <w:t>部门预算管理的单位共计1个，双鸭山市人民</w:t>
      </w:r>
      <w:r>
        <w:rPr>
          <w:rFonts w:hint="eastAsia" w:ascii="仿宋" w:hAnsi="仿宋" w:eastAsia="仿宋" w:cs="宋体"/>
          <w:color w:val="000000"/>
          <w:kern w:val="0"/>
          <w:sz w:val="32"/>
          <w:szCs w:val="32"/>
          <w:lang w:eastAsia="zh-CN"/>
        </w:rPr>
        <w:t>法院</w:t>
      </w:r>
      <w:r>
        <w:rPr>
          <w:rFonts w:hint="eastAsia" w:ascii="仿宋" w:hAnsi="仿宋" w:eastAsia="仿宋" w:cs="宋体"/>
          <w:color w:val="000000"/>
          <w:kern w:val="0"/>
          <w:sz w:val="32"/>
          <w:szCs w:val="32"/>
        </w:rPr>
        <w:t>（本级）</w:t>
      </w:r>
    </w:p>
    <w:p>
      <w:pPr>
        <w:widowControl/>
        <w:spacing w:line="315" w:lineRule="atLeast"/>
        <w:ind w:firstLine="643" w:firstLineChars="200"/>
        <w:rPr>
          <w:rFonts w:ascii="黑体" w:hAnsi="黑体" w:eastAsia="黑体"/>
          <w:b/>
          <w:color w:val="000000"/>
          <w:sz w:val="32"/>
          <w:szCs w:val="32"/>
        </w:rPr>
      </w:pPr>
      <w:r>
        <w:rPr>
          <w:rFonts w:hint="eastAsia" w:ascii="黑体" w:hAnsi="黑体" w:eastAsia="黑体" w:cs="黑体"/>
          <w:b/>
          <w:color w:val="000000"/>
          <w:kern w:val="0"/>
          <w:sz w:val="32"/>
          <w:szCs w:val="32"/>
        </w:rPr>
        <w:t>第二部分  双鸭山市</w:t>
      </w:r>
      <w:r>
        <w:rPr>
          <w:rFonts w:hint="eastAsia" w:ascii="黑体" w:hAnsi="黑体" w:eastAsia="黑体" w:cs="宋体"/>
          <w:b/>
          <w:color w:val="000000"/>
          <w:kern w:val="0"/>
          <w:sz w:val="32"/>
          <w:szCs w:val="32"/>
        </w:rPr>
        <w:t>宝山区人民</w:t>
      </w:r>
      <w:r>
        <w:rPr>
          <w:rFonts w:hint="eastAsia" w:ascii="黑体" w:hAnsi="黑体" w:eastAsia="黑体" w:cs="宋体"/>
          <w:b/>
          <w:color w:val="000000"/>
          <w:kern w:val="0"/>
          <w:sz w:val="32"/>
          <w:szCs w:val="32"/>
          <w:lang w:eastAsia="zh-CN"/>
        </w:rPr>
        <w:t>法院</w:t>
      </w:r>
      <w:r>
        <w:rPr>
          <w:rFonts w:ascii="黑体" w:hAnsi="黑体" w:eastAsia="黑体" w:cs="Verdana"/>
          <w:b/>
          <w:color w:val="000000"/>
          <w:kern w:val="0"/>
          <w:sz w:val="32"/>
          <w:szCs w:val="32"/>
        </w:rPr>
        <w:t>2018</w:t>
      </w:r>
      <w:r>
        <w:rPr>
          <w:rFonts w:hint="eastAsia" w:ascii="黑体" w:hAnsi="黑体" w:eastAsia="黑体" w:cs="黑体"/>
          <w:b/>
          <w:color w:val="000000"/>
          <w:kern w:val="0"/>
          <w:sz w:val="32"/>
          <w:szCs w:val="32"/>
        </w:rPr>
        <w:t>年部门预算表及“三公”经费预算表（见附件）</w:t>
      </w:r>
    </w:p>
    <w:p>
      <w:pPr>
        <w:widowControl/>
        <w:spacing w:line="315" w:lineRule="atLeast"/>
        <w:rPr>
          <w:rFonts w:ascii="黑体" w:hAnsi="黑体" w:eastAsia="黑体"/>
          <w:b/>
          <w:color w:val="000000"/>
          <w:sz w:val="32"/>
          <w:szCs w:val="32"/>
        </w:rPr>
      </w:pPr>
      <w:r>
        <w:rPr>
          <w:rFonts w:hint="eastAsia" w:ascii="黑体" w:hAnsi="宋体" w:eastAsia="黑体" w:cs="黑体"/>
          <w:b/>
          <w:color w:val="000000"/>
          <w:kern w:val="0"/>
          <w:sz w:val="32"/>
          <w:szCs w:val="32"/>
        </w:rPr>
        <w:t>  </w:t>
      </w:r>
      <w:r>
        <w:rPr>
          <w:rFonts w:hint="eastAsia" w:ascii="黑体" w:hAnsi="黑体" w:eastAsia="黑体" w:cs="黑体"/>
          <w:b/>
          <w:color w:val="000000"/>
          <w:kern w:val="0"/>
          <w:sz w:val="32"/>
          <w:szCs w:val="32"/>
        </w:rPr>
        <w:t>第三部分  双鸭山市</w:t>
      </w:r>
      <w:r>
        <w:rPr>
          <w:rFonts w:hint="eastAsia" w:ascii="黑体" w:hAnsi="黑体" w:eastAsia="黑体" w:cs="宋体"/>
          <w:b/>
          <w:color w:val="000000"/>
          <w:kern w:val="0"/>
          <w:sz w:val="32"/>
          <w:szCs w:val="32"/>
        </w:rPr>
        <w:t>宝山区人民</w:t>
      </w:r>
      <w:r>
        <w:rPr>
          <w:rFonts w:hint="eastAsia" w:ascii="黑体" w:hAnsi="黑体" w:eastAsia="黑体" w:cs="宋体"/>
          <w:b/>
          <w:color w:val="000000"/>
          <w:kern w:val="0"/>
          <w:sz w:val="32"/>
          <w:szCs w:val="32"/>
          <w:lang w:eastAsia="zh-CN"/>
        </w:rPr>
        <w:t>法院</w:t>
      </w:r>
      <w:r>
        <w:rPr>
          <w:rFonts w:ascii="黑体" w:hAnsi="黑体" w:eastAsia="黑体" w:cs="Verdana"/>
          <w:b/>
          <w:color w:val="000000"/>
          <w:kern w:val="0"/>
          <w:sz w:val="32"/>
          <w:szCs w:val="32"/>
        </w:rPr>
        <w:t>2018</w:t>
      </w:r>
      <w:r>
        <w:rPr>
          <w:rFonts w:hint="eastAsia" w:ascii="黑体" w:hAnsi="黑体" w:eastAsia="黑体" w:cs="黑体"/>
          <w:b/>
          <w:color w:val="000000"/>
          <w:kern w:val="0"/>
          <w:sz w:val="32"/>
          <w:szCs w:val="32"/>
        </w:rPr>
        <w:t>年部门预算及“三公”经费预算情况说明</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一、关于</w:t>
      </w:r>
      <w:r>
        <w:rPr>
          <w:rFonts w:hint="eastAsia" w:ascii="黑体" w:hAnsi="黑体" w:eastAsia="黑体" w:cs="黑体"/>
          <w:b/>
          <w:color w:val="000000"/>
          <w:kern w:val="0"/>
          <w:sz w:val="32"/>
          <w:szCs w:val="32"/>
        </w:rPr>
        <w:t>部门预算收支总表的说明</w:t>
      </w:r>
    </w:p>
    <w:p>
      <w:pPr>
        <w:widowControl/>
        <w:spacing w:line="315" w:lineRule="atLeast"/>
        <w:ind w:firstLine="640"/>
        <w:rPr>
          <w:rFonts w:ascii="仿宋" w:hAnsi="仿宋" w:eastAsia="仿宋" w:cs="仿宋_GB2312"/>
          <w:color w:val="000000"/>
          <w:kern w:val="0"/>
          <w:sz w:val="32"/>
          <w:szCs w:val="32"/>
        </w:rPr>
      </w:pPr>
      <w:r>
        <w:rPr>
          <w:rFonts w:ascii="仿宋" w:hAnsi="仿宋" w:eastAsia="仿宋" w:cs="仿宋_GB2312"/>
          <w:color w:val="000000"/>
          <w:kern w:val="0"/>
          <w:sz w:val="32"/>
          <w:szCs w:val="32"/>
        </w:rPr>
        <w:t>按照综合预算的原则，</w:t>
      </w: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宋体"/>
          <w:color w:val="000000"/>
          <w:kern w:val="0"/>
          <w:sz w:val="32"/>
          <w:szCs w:val="32"/>
        </w:rPr>
        <w:t>宝山区</w:t>
      </w:r>
      <w:r>
        <w:rPr>
          <w:rFonts w:hint="eastAsia" w:ascii="仿宋" w:hAnsi="仿宋" w:eastAsia="仿宋" w:cs="宋体"/>
          <w:color w:val="000000"/>
          <w:kern w:val="0"/>
          <w:sz w:val="32"/>
          <w:szCs w:val="32"/>
          <w:lang w:eastAsia="zh-CN"/>
        </w:rPr>
        <w:t>法院</w:t>
      </w:r>
      <w:r>
        <w:rPr>
          <w:rFonts w:ascii="仿宋" w:hAnsi="仿宋" w:eastAsia="仿宋" w:cs="仿宋_GB2312"/>
          <w:color w:val="000000"/>
          <w:kern w:val="0"/>
          <w:sz w:val="32"/>
          <w:szCs w:val="32"/>
        </w:rPr>
        <w:t>所有收入和支出均纳入部门预算管理。收入为一般公共预算收入</w:t>
      </w:r>
      <w:r>
        <w:rPr>
          <w:rFonts w:hint="eastAsia" w:ascii="仿宋" w:hAnsi="仿宋" w:eastAsia="仿宋" w:cs="仿宋_GB2312"/>
          <w:color w:val="000000"/>
          <w:kern w:val="0"/>
          <w:sz w:val="32"/>
          <w:szCs w:val="32"/>
        </w:rPr>
        <w:t>、政府性基金收入等</w:t>
      </w:r>
      <w:r>
        <w:rPr>
          <w:rFonts w:ascii="仿宋" w:hAnsi="仿宋" w:eastAsia="仿宋" w:cs="仿宋_GB2312"/>
          <w:color w:val="000000"/>
          <w:kern w:val="0"/>
          <w:sz w:val="32"/>
          <w:szCs w:val="32"/>
        </w:rPr>
        <w:t>；支出包括：一般公共服务支出。</w:t>
      </w:r>
    </w:p>
    <w:p>
      <w:pPr>
        <w:widowControl/>
        <w:spacing w:line="315" w:lineRule="atLeast"/>
        <w:ind w:firstLine="640"/>
        <w:rPr>
          <w:rFonts w:ascii="仿宋" w:hAnsi="仿宋" w:eastAsia="仿宋"/>
          <w:color w:val="00000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宋体"/>
          <w:color w:val="000000"/>
          <w:kern w:val="0"/>
          <w:sz w:val="32"/>
          <w:szCs w:val="32"/>
        </w:rPr>
        <w:t>宝山区人民</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年收支总预算</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w:t>
      </w:r>
      <w:r>
        <w:rPr>
          <w:rFonts w:ascii="仿宋" w:hAnsi="仿宋" w:eastAsia="仿宋" w:cs="仿宋_GB2312"/>
          <w:color w:val="000000"/>
          <w:kern w:val="0"/>
          <w:sz w:val="32"/>
          <w:szCs w:val="32"/>
        </w:rPr>
        <w:t>比上年预算数减少</w:t>
      </w:r>
      <w:r>
        <w:rPr>
          <w:rFonts w:hint="eastAsia" w:ascii="仿宋" w:hAnsi="仿宋" w:eastAsia="仿宋" w:cs="仿宋_GB2312"/>
          <w:color w:val="000000"/>
          <w:kern w:val="0"/>
          <w:sz w:val="32"/>
          <w:szCs w:val="32"/>
        </w:rPr>
        <w:t>3</w:t>
      </w:r>
      <w:r>
        <w:rPr>
          <w:rFonts w:hint="eastAsia" w:ascii="仿宋" w:hAnsi="仿宋" w:eastAsia="仿宋" w:cs="仿宋_GB2312"/>
          <w:color w:val="000000"/>
          <w:kern w:val="0"/>
          <w:sz w:val="32"/>
          <w:szCs w:val="32"/>
          <w:lang w:val="en-US" w:eastAsia="zh-CN"/>
        </w:rPr>
        <w:t>9</w:t>
      </w:r>
      <w:r>
        <w:rPr>
          <w:rFonts w:hint="eastAsia" w:ascii="仿宋" w:hAnsi="仿宋" w:eastAsia="仿宋" w:cs="仿宋_GB2312"/>
          <w:color w:val="000000"/>
          <w:kern w:val="0"/>
          <w:sz w:val="32"/>
          <w:szCs w:val="32"/>
        </w:rPr>
        <w:t>3</w:t>
      </w:r>
      <w:r>
        <w:rPr>
          <w:rFonts w:ascii="仿宋" w:hAnsi="仿宋" w:eastAsia="仿宋" w:cs="仿宋_GB2312"/>
          <w:color w:val="000000"/>
          <w:kern w:val="0"/>
          <w:sz w:val="32"/>
          <w:szCs w:val="32"/>
        </w:rPr>
        <w:t>万元，减少</w:t>
      </w:r>
      <w:r>
        <w:rPr>
          <w:rFonts w:hint="eastAsia" w:ascii="仿宋" w:hAnsi="仿宋" w:eastAsia="仿宋" w:cs="仿宋_GB2312"/>
          <w:color w:val="000000"/>
          <w:kern w:val="0"/>
          <w:sz w:val="32"/>
          <w:szCs w:val="32"/>
          <w:lang w:val="en-US" w:eastAsia="zh-CN"/>
        </w:rPr>
        <w:t>75.8</w:t>
      </w:r>
      <w:r>
        <w:rPr>
          <w:rFonts w:hint="eastAsia" w:ascii="仿宋" w:hAnsi="仿宋" w:eastAsia="仿宋" w:cs="仿宋_GB2312"/>
          <w:color w:val="000000"/>
          <w:kern w:val="0"/>
          <w:sz w:val="32"/>
          <w:szCs w:val="32"/>
        </w:rPr>
        <w:t>%，</w:t>
      </w:r>
      <w:r>
        <w:rPr>
          <w:rFonts w:ascii="仿宋" w:hAnsi="仿宋" w:eastAsia="仿宋" w:cs="仿宋_GB2312"/>
          <w:color w:val="000000"/>
          <w:kern w:val="0"/>
          <w:sz w:val="32"/>
          <w:szCs w:val="32"/>
        </w:rPr>
        <w:t>主要原因是：</w:t>
      </w:r>
      <w:r>
        <w:rPr>
          <w:rFonts w:hint="eastAsia" w:ascii="仿宋" w:hAnsi="仿宋" w:eastAsia="仿宋" w:cs="仿宋_GB2312"/>
          <w:color w:val="000000"/>
          <w:kern w:val="0"/>
          <w:sz w:val="32"/>
          <w:szCs w:val="32"/>
          <w:lang w:eastAsia="zh-CN"/>
        </w:rPr>
        <w:t>从</w:t>
      </w:r>
      <w:r>
        <w:rPr>
          <w:rFonts w:hint="eastAsia" w:ascii="仿宋" w:hAnsi="仿宋" w:eastAsia="仿宋" w:cs="仿宋_GB2312"/>
          <w:color w:val="000000"/>
          <w:kern w:val="0"/>
          <w:sz w:val="32"/>
          <w:szCs w:val="32"/>
          <w:lang w:val="en-US" w:eastAsia="zh-CN"/>
        </w:rPr>
        <w:t>2018年1月开始，宝山区人民法院上划归省管理，各项工资及社会保障由省里拔款。</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二、关于部门收入总表的说明</w:t>
      </w:r>
    </w:p>
    <w:p>
      <w:pPr>
        <w:widowControl/>
        <w:spacing w:line="315" w:lineRule="atLeast"/>
        <w:ind w:firstLine="640"/>
        <w:rPr>
          <w:rFonts w:ascii="仿宋" w:hAnsi="仿宋" w:eastAsia="仿宋"/>
          <w:color w:val="00000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宋体"/>
          <w:color w:val="000000"/>
          <w:kern w:val="0"/>
          <w:sz w:val="32"/>
          <w:szCs w:val="32"/>
        </w:rPr>
        <w:t>山区人民</w:t>
      </w:r>
      <w:r>
        <w:rPr>
          <w:rFonts w:hint="eastAsia" w:ascii="仿宋" w:hAnsi="仿宋" w:eastAsia="仿宋" w:cs="宋体"/>
          <w:color w:val="000000"/>
          <w:kern w:val="0"/>
          <w:sz w:val="32"/>
          <w:szCs w:val="32"/>
          <w:lang w:eastAsia="zh-CN"/>
        </w:rPr>
        <w:t>法院</w:t>
      </w:r>
      <w:r>
        <w:rPr>
          <w:rFonts w:hint="eastAsia" w:ascii="仿宋" w:hAnsi="仿宋" w:eastAsia="仿宋" w:cs="宋体"/>
          <w:color w:val="000000"/>
          <w:kern w:val="0"/>
          <w:sz w:val="32"/>
          <w:szCs w:val="32"/>
          <w:lang w:val="en-US" w:eastAsia="zh-CN"/>
        </w:rPr>
        <w:t>2</w:t>
      </w:r>
      <w:r>
        <w:rPr>
          <w:rFonts w:ascii="仿宋" w:hAnsi="仿宋" w:eastAsia="仿宋" w:cs="Verdana"/>
          <w:color w:val="000000"/>
          <w:kern w:val="0"/>
          <w:sz w:val="32"/>
          <w:szCs w:val="32"/>
        </w:rPr>
        <w:t>018</w:t>
      </w:r>
      <w:r>
        <w:rPr>
          <w:rFonts w:ascii="仿宋" w:hAnsi="仿宋" w:eastAsia="仿宋" w:cs="仿宋_GB2312"/>
          <w:color w:val="000000"/>
          <w:kern w:val="0"/>
          <w:sz w:val="32"/>
          <w:szCs w:val="32"/>
        </w:rPr>
        <w:t>年收入预算</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万元，其中：一般公共预算收入</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万元，占总收入的</w:t>
      </w:r>
      <w:r>
        <w:rPr>
          <w:rFonts w:hint="eastAsia" w:ascii="仿宋" w:hAnsi="仿宋" w:eastAsia="仿宋" w:cs="Verdana"/>
          <w:color w:val="000000"/>
          <w:kern w:val="0"/>
          <w:sz w:val="32"/>
          <w:szCs w:val="32"/>
        </w:rPr>
        <w:t>100</w:t>
      </w:r>
      <w:r>
        <w:rPr>
          <w:rFonts w:ascii="仿宋" w:hAnsi="仿宋" w:eastAsia="仿宋" w:cs="Verdana"/>
          <w:color w:val="000000"/>
          <w:kern w:val="0"/>
          <w:sz w:val="32"/>
          <w:szCs w:val="32"/>
        </w:rPr>
        <w:t>%</w:t>
      </w:r>
      <w:r>
        <w:rPr>
          <w:rFonts w:ascii="仿宋" w:hAnsi="仿宋" w:eastAsia="仿宋" w:cs="仿宋_GB2312"/>
          <w:color w:val="000000"/>
          <w:kern w:val="0"/>
          <w:sz w:val="32"/>
          <w:szCs w:val="32"/>
        </w:rPr>
        <w:t>。</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三、关于部门支出总表的说明</w:t>
      </w:r>
    </w:p>
    <w:p>
      <w:pPr>
        <w:widowControl/>
        <w:spacing w:line="315" w:lineRule="atLeast"/>
        <w:ind w:firstLine="640"/>
        <w:rPr>
          <w:rFonts w:ascii="仿宋" w:hAnsi="仿宋" w:eastAsia="仿宋"/>
          <w:color w:val="00000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年支出预算</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万元，其中：基本支出</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万元，占总支出的</w:t>
      </w:r>
      <w:r>
        <w:rPr>
          <w:rFonts w:hint="eastAsia" w:ascii="仿宋" w:hAnsi="仿宋" w:eastAsia="仿宋" w:cs="Verdana"/>
          <w:color w:val="000000"/>
          <w:kern w:val="0"/>
          <w:sz w:val="32"/>
          <w:szCs w:val="32"/>
        </w:rPr>
        <w:t>100</w:t>
      </w:r>
      <w:r>
        <w:rPr>
          <w:rFonts w:ascii="仿宋" w:hAnsi="仿宋" w:eastAsia="仿宋" w:cs="Verdana"/>
          <w:color w:val="000000"/>
          <w:kern w:val="0"/>
          <w:sz w:val="32"/>
          <w:szCs w:val="32"/>
        </w:rPr>
        <w:t>%</w:t>
      </w:r>
      <w:r>
        <w:rPr>
          <w:rFonts w:ascii="仿宋" w:hAnsi="仿宋" w:eastAsia="仿宋" w:cs="仿宋_GB2312"/>
          <w:color w:val="000000"/>
          <w:kern w:val="0"/>
          <w:sz w:val="32"/>
          <w:szCs w:val="32"/>
        </w:rPr>
        <w:t>。</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四、关于财政拨款收支总表的说明</w:t>
      </w:r>
    </w:p>
    <w:p>
      <w:pPr>
        <w:widowControl/>
        <w:spacing w:line="315" w:lineRule="atLeast"/>
        <w:ind w:firstLine="640"/>
        <w:rPr>
          <w:rFonts w:ascii="仿宋" w:hAnsi="仿宋" w:eastAsia="仿宋"/>
          <w:color w:val="00000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年财政拨款收支总预算</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万元。收入包括：</w:t>
      </w:r>
      <w:r>
        <w:rPr>
          <w:rFonts w:hint="eastAsia" w:ascii="仿宋" w:hAnsi="仿宋" w:eastAsia="仿宋" w:cs="仿宋_GB2312"/>
          <w:color w:val="000000"/>
          <w:kern w:val="0"/>
          <w:sz w:val="32"/>
          <w:szCs w:val="32"/>
        </w:rPr>
        <w:t>一般公共预算</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w:t>
      </w:r>
      <w:r>
        <w:rPr>
          <w:rFonts w:ascii="仿宋" w:hAnsi="仿宋" w:eastAsia="仿宋" w:cs="仿宋_GB2312"/>
          <w:color w:val="000000"/>
          <w:kern w:val="0"/>
          <w:sz w:val="32"/>
          <w:szCs w:val="32"/>
        </w:rPr>
        <w:t>支出包括：</w:t>
      </w:r>
      <w:r>
        <w:rPr>
          <w:rFonts w:hint="eastAsia" w:ascii="仿宋" w:hAnsi="仿宋" w:eastAsia="仿宋" w:cs="仿宋_GB2312"/>
          <w:color w:val="000000"/>
          <w:kern w:val="0"/>
          <w:sz w:val="32"/>
          <w:szCs w:val="32"/>
          <w:lang w:eastAsia="zh-CN"/>
        </w:rPr>
        <w:t>公共安全</w:t>
      </w:r>
      <w:r>
        <w:rPr>
          <w:rFonts w:ascii="仿宋" w:hAnsi="仿宋" w:eastAsia="仿宋" w:cs="仿宋_GB2312"/>
          <w:color w:val="000000"/>
          <w:kern w:val="0"/>
          <w:sz w:val="32"/>
          <w:szCs w:val="32"/>
        </w:rPr>
        <w:t>支出</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w:t>
      </w:r>
    </w:p>
    <w:p>
      <w:pPr>
        <w:widowControl/>
        <w:spacing w:line="315" w:lineRule="atLeast"/>
        <w:ind w:firstLine="643"/>
        <w:rPr>
          <w:rFonts w:ascii="黑体" w:hAnsi="黑体" w:eastAsia="黑体" w:cs="黑体"/>
          <w:b/>
          <w:color w:val="2B2B2B"/>
          <w:kern w:val="0"/>
          <w:sz w:val="32"/>
          <w:szCs w:val="32"/>
        </w:rPr>
      </w:pPr>
      <w:r>
        <w:rPr>
          <w:rFonts w:hint="eastAsia" w:ascii="黑体" w:hAnsi="黑体" w:eastAsia="黑体" w:cs="黑体"/>
          <w:b/>
          <w:color w:val="2B2B2B"/>
          <w:kern w:val="0"/>
          <w:sz w:val="32"/>
          <w:szCs w:val="32"/>
        </w:rPr>
        <w:t>五、关于一般公共预算功能分类支出表的说明</w:t>
      </w:r>
    </w:p>
    <w:p>
      <w:pPr>
        <w:widowControl/>
        <w:spacing w:line="315" w:lineRule="atLeast"/>
        <w:ind w:firstLine="640"/>
        <w:rPr>
          <w:rFonts w:ascii="仿宋" w:hAnsi="仿宋" w:eastAsia="仿宋" w:cs="仿宋_GB2312"/>
          <w:color w:val="000000"/>
          <w:kern w:val="0"/>
          <w:sz w:val="32"/>
          <w:szCs w:val="32"/>
        </w:rPr>
      </w:pPr>
      <w:r>
        <w:rPr>
          <w:rFonts w:ascii="仿宋" w:hAnsi="仿宋" w:eastAsia="仿宋" w:cs="仿宋_GB2312"/>
          <w:color w:val="000000"/>
          <w:kern w:val="0"/>
          <w:sz w:val="32"/>
          <w:szCs w:val="32"/>
        </w:rPr>
        <w:t>（一）一般公共预算当年拨款规模变化情况。</w:t>
      </w: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w:t>
      </w:r>
      <w:r>
        <w:rPr>
          <w:rFonts w:hint="eastAsia" w:ascii="仿宋" w:hAnsi="仿宋" w:eastAsia="仿宋" w:cs="仿宋_GB2312"/>
          <w:color w:val="000000"/>
          <w:kern w:val="0"/>
          <w:sz w:val="32"/>
          <w:szCs w:val="32"/>
          <w:lang w:eastAsia="zh-CN"/>
        </w:rPr>
        <w:t>公共安全</w:t>
      </w:r>
      <w:r>
        <w:rPr>
          <w:rFonts w:ascii="仿宋" w:hAnsi="仿宋" w:eastAsia="仿宋" w:cs="仿宋_GB2312"/>
          <w:color w:val="000000"/>
          <w:kern w:val="0"/>
          <w:sz w:val="32"/>
          <w:szCs w:val="32"/>
        </w:rPr>
        <w:t>拨款</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万元，比上年预算数减少</w:t>
      </w:r>
      <w:r>
        <w:rPr>
          <w:rFonts w:hint="eastAsia" w:ascii="仿宋" w:hAnsi="仿宋" w:eastAsia="仿宋" w:cs="仿宋_GB2312"/>
          <w:color w:val="000000"/>
          <w:kern w:val="0"/>
          <w:sz w:val="32"/>
          <w:szCs w:val="32"/>
        </w:rPr>
        <w:t>3</w:t>
      </w:r>
      <w:r>
        <w:rPr>
          <w:rFonts w:hint="eastAsia" w:ascii="仿宋" w:hAnsi="仿宋" w:eastAsia="仿宋" w:cs="仿宋_GB2312"/>
          <w:color w:val="000000"/>
          <w:kern w:val="0"/>
          <w:sz w:val="32"/>
          <w:szCs w:val="32"/>
          <w:lang w:val="en-US" w:eastAsia="zh-CN"/>
        </w:rPr>
        <w:t>9</w:t>
      </w:r>
      <w:r>
        <w:rPr>
          <w:rFonts w:hint="eastAsia" w:ascii="仿宋" w:hAnsi="仿宋" w:eastAsia="仿宋" w:cs="仿宋_GB2312"/>
          <w:color w:val="000000"/>
          <w:kern w:val="0"/>
          <w:sz w:val="32"/>
          <w:szCs w:val="32"/>
        </w:rPr>
        <w:t>3</w:t>
      </w:r>
      <w:r>
        <w:rPr>
          <w:rFonts w:ascii="仿宋" w:hAnsi="仿宋" w:eastAsia="仿宋" w:cs="仿宋_GB2312"/>
          <w:color w:val="000000"/>
          <w:kern w:val="0"/>
          <w:sz w:val="32"/>
          <w:szCs w:val="32"/>
        </w:rPr>
        <w:t>万元，主要原因是：</w:t>
      </w:r>
      <w:r>
        <w:rPr>
          <w:rFonts w:hint="eastAsia" w:ascii="仿宋" w:hAnsi="仿宋" w:eastAsia="仿宋" w:cs="仿宋_GB2312"/>
          <w:color w:val="000000"/>
          <w:kern w:val="0"/>
          <w:sz w:val="32"/>
          <w:szCs w:val="32"/>
          <w:lang w:val="en-US" w:eastAsia="zh-CN"/>
        </w:rPr>
        <w:t>2018年1月开始，宝山区人民法院上划归省管理，各项工资及社会保障由省里拔款。</w:t>
      </w:r>
    </w:p>
    <w:p>
      <w:pPr>
        <w:widowControl/>
        <w:spacing w:line="315" w:lineRule="atLeast"/>
        <w:ind w:firstLine="640"/>
        <w:rPr>
          <w:rFonts w:ascii="仿宋" w:hAnsi="仿宋" w:eastAsia="仿宋" w:cs="仿宋_GB2312"/>
          <w:color w:val="000000"/>
          <w:kern w:val="0"/>
          <w:sz w:val="32"/>
          <w:szCs w:val="32"/>
        </w:rPr>
      </w:pPr>
      <w:r>
        <w:rPr>
          <w:rFonts w:ascii="仿宋" w:hAnsi="仿宋" w:eastAsia="仿宋" w:cs="仿宋_GB2312"/>
          <w:color w:val="000000"/>
          <w:kern w:val="0"/>
          <w:sz w:val="32"/>
          <w:szCs w:val="32"/>
        </w:rPr>
        <w:t>（二）一般公共预算当年拨款结构情况。</w:t>
      </w:r>
      <w:r>
        <w:rPr>
          <w:rFonts w:hint="eastAsia" w:ascii="仿宋" w:hAnsi="仿宋" w:eastAsia="仿宋" w:cs="仿宋_GB2312"/>
          <w:color w:val="000000"/>
          <w:kern w:val="0"/>
          <w:sz w:val="32"/>
          <w:szCs w:val="32"/>
          <w:lang w:eastAsia="zh-CN"/>
        </w:rPr>
        <w:t>公共安全</w:t>
      </w:r>
      <w:r>
        <w:rPr>
          <w:rFonts w:ascii="仿宋" w:hAnsi="仿宋" w:eastAsia="仿宋" w:cs="仿宋_GB2312"/>
          <w:color w:val="000000"/>
          <w:kern w:val="0"/>
          <w:sz w:val="32"/>
          <w:szCs w:val="32"/>
        </w:rPr>
        <w:t>（类）支出</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万元，占总支出的</w:t>
      </w:r>
      <w:r>
        <w:rPr>
          <w:rFonts w:hint="eastAsia" w:ascii="仿宋" w:hAnsi="仿宋" w:eastAsia="仿宋" w:cs="Verdana"/>
          <w:color w:val="000000"/>
          <w:kern w:val="0"/>
          <w:sz w:val="32"/>
          <w:szCs w:val="32"/>
          <w:lang w:val="en-US" w:eastAsia="zh-CN"/>
        </w:rPr>
        <w:t>100</w:t>
      </w:r>
      <w:r>
        <w:rPr>
          <w:rFonts w:ascii="仿宋" w:hAnsi="仿宋" w:eastAsia="仿宋" w:cs="Verdana"/>
          <w:color w:val="000000"/>
          <w:kern w:val="0"/>
          <w:sz w:val="32"/>
          <w:szCs w:val="32"/>
        </w:rPr>
        <w:t>%</w:t>
      </w:r>
      <w:r>
        <w:rPr>
          <w:rFonts w:ascii="仿宋" w:hAnsi="仿宋" w:eastAsia="仿宋" w:cs="仿宋_GB2312"/>
          <w:color w:val="000000"/>
          <w:kern w:val="0"/>
          <w:sz w:val="32"/>
          <w:szCs w:val="32"/>
        </w:rPr>
        <w:t>；</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rPr>
        <w:t>（三）一般公共预算当年拨款具体使用情况</w:t>
      </w:r>
    </w:p>
    <w:p>
      <w:pPr>
        <w:widowControl/>
        <w:spacing w:line="315" w:lineRule="atLeast"/>
        <w:ind w:firstLine="640"/>
        <w:rPr>
          <w:rFonts w:ascii="仿宋" w:hAnsi="仿宋" w:eastAsia="仿宋" w:cs="仿宋_GB2312"/>
          <w:color w:val="000000"/>
          <w:kern w:val="0"/>
          <w:sz w:val="32"/>
          <w:szCs w:val="32"/>
        </w:rPr>
      </w:pPr>
      <w:r>
        <w:rPr>
          <w:rFonts w:ascii="仿宋" w:hAnsi="仿宋" w:eastAsia="仿宋" w:cs="仿宋_GB2312"/>
          <w:color w:val="000000"/>
          <w:kern w:val="0"/>
          <w:sz w:val="32"/>
          <w:szCs w:val="32"/>
        </w:rPr>
        <w:t>1、一般公共服务（类）财政事务（款）行政运行（项）</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年预算数</w:t>
      </w:r>
      <w:r>
        <w:rPr>
          <w:rFonts w:hint="eastAsia" w:ascii="仿宋" w:hAnsi="仿宋" w:eastAsia="仿宋" w:cs="仿宋_GB2312"/>
          <w:color w:val="000000"/>
          <w:kern w:val="0"/>
          <w:sz w:val="32"/>
          <w:szCs w:val="32"/>
          <w:lang w:val="en-US" w:eastAsia="zh-CN"/>
        </w:rPr>
        <w:t>95</w:t>
      </w:r>
      <w:r>
        <w:rPr>
          <w:rFonts w:ascii="仿宋" w:hAnsi="仿宋" w:eastAsia="仿宋" w:cs="仿宋_GB2312"/>
          <w:color w:val="000000"/>
          <w:kern w:val="0"/>
          <w:sz w:val="32"/>
          <w:szCs w:val="32"/>
        </w:rPr>
        <w:t>万元，比上年预算数</w:t>
      </w:r>
      <w:r>
        <w:rPr>
          <w:rFonts w:hint="eastAsia" w:ascii="仿宋" w:hAnsi="仿宋" w:eastAsia="仿宋" w:cs="仿宋_GB2312"/>
          <w:color w:val="000000"/>
          <w:kern w:val="0"/>
          <w:sz w:val="32"/>
          <w:szCs w:val="32"/>
        </w:rPr>
        <w:t>减少</w:t>
      </w:r>
      <w:r>
        <w:rPr>
          <w:rFonts w:hint="eastAsia" w:ascii="仿宋" w:hAnsi="仿宋" w:eastAsia="仿宋" w:cs="Verdana"/>
          <w:color w:val="000000"/>
          <w:kern w:val="0"/>
          <w:sz w:val="32"/>
          <w:szCs w:val="32"/>
        </w:rPr>
        <w:t>3</w:t>
      </w:r>
      <w:r>
        <w:rPr>
          <w:rFonts w:hint="eastAsia" w:ascii="仿宋" w:hAnsi="仿宋" w:eastAsia="仿宋" w:cs="Verdana"/>
          <w:color w:val="000000"/>
          <w:kern w:val="0"/>
          <w:sz w:val="32"/>
          <w:szCs w:val="32"/>
          <w:lang w:val="en-US" w:eastAsia="zh-CN"/>
        </w:rPr>
        <w:t>9</w:t>
      </w:r>
      <w:r>
        <w:rPr>
          <w:rFonts w:hint="eastAsia" w:ascii="仿宋" w:hAnsi="仿宋" w:eastAsia="仿宋" w:cs="Verdana"/>
          <w:color w:val="000000"/>
          <w:kern w:val="0"/>
          <w:sz w:val="32"/>
          <w:szCs w:val="32"/>
        </w:rPr>
        <w:t>3</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降低</w:t>
      </w:r>
      <w:r>
        <w:rPr>
          <w:rFonts w:hint="eastAsia" w:ascii="仿宋" w:hAnsi="仿宋" w:eastAsia="仿宋" w:cs="Verdana"/>
          <w:color w:val="000000"/>
          <w:kern w:val="0"/>
          <w:sz w:val="32"/>
          <w:szCs w:val="32"/>
          <w:lang w:val="en-US" w:eastAsia="zh-CN"/>
        </w:rPr>
        <w:t>75.8</w:t>
      </w:r>
      <w:r>
        <w:rPr>
          <w:rFonts w:ascii="仿宋" w:hAnsi="仿宋" w:eastAsia="仿宋" w:cs="Verdana"/>
          <w:color w:val="000000"/>
          <w:kern w:val="0"/>
          <w:sz w:val="32"/>
          <w:szCs w:val="32"/>
        </w:rPr>
        <w:t>%</w:t>
      </w:r>
      <w:r>
        <w:rPr>
          <w:rFonts w:ascii="仿宋" w:hAnsi="仿宋" w:eastAsia="仿宋" w:cs="仿宋_GB2312"/>
          <w:color w:val="000000"/>
          <w:kern w:val="0"/>
          <w:sz w:val="32"/>
          <w:szCs w:val="32"/>
        </w:rPr>
        <w:t>。主要原因是：</w:t>
      </w:r>
      <w:r>
        <w:rPr>
          <w:rFonts w:hint="eastAsia" w:ascii="仿宋" w:hAnsi="仿宋" w:eastAsia="仿宋" w:cs="仿宋_GB2312"/>
          <w:color w:val="000000"/>
          <w:kern w:val="0"/>
          <w:sz w:val="32"/>
          <w:szCs w:val="32"/>
          <w:lang w:val="en-US" w:eastAsia="zh-CN"/>
        </w:rPr>
        <w:t>2018年1月开始，宝山区人民法院上划归省管理，各项工资及社会保障由省里拔款。</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六、关于部门一般公共预算部门经济分类支出表的说明</w:t>
      </w:r>
    </w:p>
    <w:p>
      <w:pPr>
        <w:widowControl/>
        <w:spacing w:line="315" w:lineRule="atLeast"/>
        <w:ind w:firstLine="64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年一般公共预算基本支出</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万元，按定额管理的商品服务支出</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万元，主要包括：办公费</w:t>
      </w:r>
      <w:r>
        <w:rPr>
          <w:rFonts w:hint="eastAsia" w:ascii="仿宋" w:hAnsi="仿宋" w:eastAsia="仿宋" w:cs="仿宋_GB2312"/>
          <w:color w:val="000000"/>
          <w:kern w:val="0"/>
          <w:sz w:val="32"/>
          <w:szCs w:val="32"/>
          <w:lang w:val="en-US" w:eastAsia="zh-CN"/>
        </w:rPr>
        <w:t>2</w:t>
      </w:r>
      <w:r>
        <w:rPr>
          <w:rFonts w:hint="eastAsia" w:ascii="仿宋" w:hAnsi="仿宋" w:eastAsia="仿宋" w:cs="Verdana"/>
          <w:color w:val="000000"/>
          <w:kern w:val="0"/>
          <w:sz w:val="32"/>
          <w:szCs w:val="32"/>
        </w:rPr>
        <w:t>5</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印刷费</w:t>
      </w:r>
      <w:r>
        <w:rPr>
          <w:rFonts w:hint="eastAsia" w:ascii="仿宋" w:hAnsi="仿宋" w:eastAsia="仿宋" w:cs="Verdana"/>
          <w:color w:val="000000"/>
          <w:kern w:val="0"/>
          <w:sz w:val="32"/>
          <w:szCs w:val="32"/>
        </w:rPr>
        <w:t>7</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、差旅费</w:t>
      </w:r>
      <w:r>
        <w:rPr>
          <w:rFonts w:hint="eastAsia" w:ascii="仿宋" w:hAnsi="仿宋" w:eastAsia="仿宋" w:cs="仿宋_GB2312"/>
          <w:color w:val="000000"/>
          <w:kern w:val="0"/>
          <w:sz w:val="32"/>
          <w:szCs w:val="32"/>
          <w:lang w:val="en-US" w:eastAsia="zh-CN"/>
        </w:rPr>
        <w:t>8</w:t>
      </w:r>
      <w:r>
        <w:rPr>
          <w:rFonts w:hint="eastAsia"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维护费</w:t>
      </w:r>
      <w:r>
        <w:rPr>
          <w:rFonts w:hint="eastAsia" w:ascii="仿宋" w:hAnsi="仿宋" w:eastAsia="仿宋" w:cs="仿宋_GB2312"/>
          <w:color w:val="000000"/>
          <w:kern w:val="0"/>
          <w:sz w:val="32"/>
          <w:szCs w:val="32"/>
          <w:lang w:val="en-US" w:eastAsia="zh-CN"/>
        </w:rPr>
        <w:t>35万元，专用材料费20万元。</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七、关于部门一般公共预算政府经济分类支出表的说明</w:t>
      </w:r>
    </w:p>
    <w:p>
      <w:pPr>
        <w:widowControl/>
        <w:spacing w:line="315" w:lineRule="atLeast"/>
        <w:ind w:firstLine="640"/>
        <w:rPr>
          <w:rFonts w:ascii="仿宋" w:hAnsi="仿宋" w:eastAsia="仿宋"/>
          <w:color w:val="00000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年一般公共预算</w:t>
      </w:r>
      <w:r>
        <w:rPr>
          <w:rFonts w:hint="eastAsia" w:ascii="仿宋" w:hAnsi="仿宋" w:eastAsia="仿宋" w:cs="仿宋_GB2312"/>
          <w:color w:val="000000"/>
          <w:kern w:val="0"/>
          <w:sz w:val="32"/>
          <w:szCs w:val="32"/>
        </w:rPr>
        <w:t>总</w:t>
      </w:r>
      <w:r>
        <w:rPr>
          <w:rFonts w:ascii="仿宋" w:hAnsi="仿宋" w:eastAsia="仿宋" w:cs="仿宋_GB2312"/>
          <w:color w:val="000000"/>
          <w:kern w:val="0"/>
          <w:sz w:val="32"/>
          <w:szCs w:val="32"/>
        </w:rPr>
        <w:t>支出</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机关商品和服务支出</w:t>
      </w:r>
      <w:r>
        <w:rPr>
          <w:rFonts w:hint="eastAsia" w:ascii="仿宋" w:hAnsi="仿宋" w:eastAsia="仿宋" w:cs="仿宋_GB2312"/>
          <w:color w:val="000000"/>
          <w:kern w:val="0"/>
          <w:sz w:val="32"/>
          <w:szCs w:val="32"/>
          <w:lang w:val="en-US" w:eastAsia="zh-CN"/>
        </w:rPr>
        <w:t>95</w:t>
      </w:r>
      <w:r>
        <w:rPr>
          <w:rFonts w:hint="eastAsia" w:ascii="仿宋" w:hAnsi="仿宋" w:eastAsia="仿宋" w:cs="仿宋_GB2312"/>
          <w:color w:val="000000"/>
          <w:kern w:val="0"/>
          <w:sz w:val="32"/>
          <w:szCs w:val="32"/>
        </w:rPr>
        <w:t>万元，包括：办公经费</w:t>
      </w:r>
      <w:r>
        <w:rPr>
          <w:rFonts w:hint="eastAsia" w:ascii="仿宋" w:hAnsi="仿宋" w:eastAsia="仿宋" w:cs="Verdana"/>
          <w:color w:val="000000"/>
          <w:kern w:val="0"/>
          <w:sz w:val="32"/>
          <w:szCs w:val="32"/>
          <w:lang w:val="en-US" w:eastAsia="zh-CN"/>
        </w:rPr>
        <w:t>2</w:t>
      </w:r>
      <w:r>
        <w:rPr>
          <w:rFonts w:hint="eastAsia" w:ascii="仿宋" w:hAnsi="仿宋" w:eastAsia="仿宋" w:cs="Verdana"/>
          <w:color w:val="000000"/>
          <w:kern w:val="0"/>
          <w:sz w:val="32"/>
          <w:szCs w:val="32"/>
        </w:rPr>
        <w:t>5</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、会议费</w:t>
      </w:r>
      <w:r>
        <w:rPr>
          <w:rFonts w:hint="eastAsia" w:ascii="仿宋" w:hAnsi="仿宋" w:eastAsia="仿宋" w:cs="Verdana"/>
          <w:color w:val="000000"/>
          <w:kern w:val="0"/>
          <w:sz w:val="32"/>
          <w:szCs w:val="32"/>
        </w:rPr>
        <w:t>6</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rPr>
        <w:t>，对个人和家庭的补助63万元，包括：退休费63万元。</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八、关于政府性基金预算功能分类支出表的说明</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rPr>
        <w:t>本单位无政府性基金支出，与上年一致。</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九、关于政府性基金预算经济分类支出表的说明</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rPr>
        <w:t>本单位无政府性基金支出，与上年一致。</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十、关于</w:t>
      </w:r>
      <w:r>
        <w:rPr>
          <w:rFonts w:ascii="黑体" w:hAnsi="黑体" w:eastAsia="黑体" w:cs="Verdana"/>
          <w:b/>
          <w:color w:val="2B2B2B"/>
          <w:kern w:val="0"/>
          <w:sz w:val="32"/>
          <w:szCs w:val="32"/>
        </w:rPr>
        <w:t xml:space="preserve"> “</w:t>
      </w:r>
      <w:r>
        <w:rPr>
          <w:rFonts w:hint="eastAsia" w:ascii="黑体" w:hAnsi="黑体" w:eastAsia="黑体" w:cs="黑体"/>
          <w:b/>
          <w:color w:val="2B2B2B"/>
          <w:kern w:val="0"/>
          <w:sz w:val="32"/>
          <w:szCs w:val="32"/>
        </w:rPr>
        <w:t>三公</w:t>
      </w:r>
      <w:r>
        <w:rPr>
          <w:rFonts w:ascii="黑体" w:hAnsi="黑体" w:eastAsia="黑体" w:cs="Verdana"/>
          <w:b/>
          <w:color w:val="2B2B2B"/>
          <w:kern w:val="0"/>
          <w:sz w:val="32"/>
          <w:szCs w:val="32"/>
        </w:rPr>
        <w:t>”</w:t>
      </w:r>
      <w:r>
        <w:rPr>
          <w:rFonts w:hint="eastAsia" w:ascii="黑体" w:hAnsi="黑体" w:eastAsia="黑体" w:cs="黑体"/>
          <w:b/>
          <w:color w:val="2B2B2B"/>
          <w:kern w:val="0"/>
          <w:sz w:val="32"/>
          <w:szCs w:val="32"/>
        </w:rPr>
        <w:t>经费支出表的说明</w:t>
      </w:r>
    </w:p>
    <w:p>
      <w:pPr>
        <w:widowControl/>
        <w:spacing w:line="315" w:lineRule="atLeast"/>
        <w:ind w:firstLine="640"/>
        <w:rPr>
          <w:rFonts w:ascii="仿宋" w:hAnsi="仿宋" w:eastAsia="仿宋"/>
          <w:color w:val="00000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山区人民代表大会常务委员会</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年“三公”经费预算数为</w:t>
      </w:r>
      <w:r>
        <w:rPr>
          <w:rFonts w:hint="eastAsia" w:ascii="仿宋" w:hAnsi="仿宋" w:eastAsia="仿宋" w:cs="Verdana"/>
          <w:color w:val="000000"/>
          <w:kern w:val="0"/>
          <w:sz w:val="32"/>
          <w:szCs w:val="32"/>
        </w:rPr>
        <w:t>0</w:t>
      </w:r>
      <w:r>
        <w:rPr>
          <w:rFonts w:ascii="仿宋" w:hAnsi="仿宋" w:eastAsia="仿宋" w:cs="仿宋_GB2312"/>
          <w:color w:val="000000"/>
          <w:kern w:val="0"/>
          <w:sz w:val="32"/>
          <w:szCs w:val="32"/>
        </w:rPr>
        <w:t>万元，其中：公务接待费</w:t>
      </w:r>
      <w:r>
        <w:rPr>
          <w:rFonts w:hint="eastAsia" w:ascii="仿宋" w:hAnsi="仿宋" w:eastAsia="仿宋" w:cs="Verdana"/>
          <w:color w:val="000000"/>
          <w:kern w:val="0"/>
          <w:sz w:val="32"/>
          <w:szCs w:val="32"/>
        </w:rPr>
        <w:t>0</w:t>
      </w:r>
      <w:r>
        <w:rPr>
          <w:rFonts w:ascii="仿宋" w:hAnsi="仿宋" w:eastAsia="仿宋" w:cs="仿宋_GB2312"/>
          <w:color w:val="000000"/>
          <w:kern w:val="0"/>
          <w:sz w:val="32"/>
          <w:szCs w:val="32"/>
        </w:rPr>
        <w:t>万元，无因公出国（境）费</w:t>
      </w:r>
      <w:r>
        <w:rPr>
          <w:rFonts w:hint="eastAsia" w:ascii="仿宋" w:hAnsi="仿宋" w:eastAsia="仿宋" w:cs="Verdana"/>
          <w:color w:val="000000"/>
          <w:kern w:val="0"/>
          <w:sz w:val="32"/>
          <w:szCs w:val="32"/>
        </w:rPr>
        <w:t>0</w:t>
      </w:r>
      <w:r>
        <w:rPr>
          <w:rFonts w:ascii="仿宋" w:hAnsi="仿宋" w:eastAsia="仿宋" w:cs="仿宋_GB2312"/>
          <w:color w:val="000000"/>
          <w:kern w:val="0"/>
          <w:sz w:val="32"/>
          <w:szCs w:val="32"/>
        </w:rPr>
        <w:t>万元、、公务用车购置费</w:t>
      </w:r>
      <w:r>
        <w:rPr>
          <w:rFonts w:hint="eastAsia" w:ascii="仿宋" w:hAnsi="仿宋" w:eastAsia="仿宋" w:cs="Verdana"/>
          <w:color w:val="000000"/>
          <w:kern w:val="0"/>
          <w:sz w:val="32"/>
          <w:szCs w:val="32"/>
        </w:rPr>
        <w:t>0</w:t>
      </w:r>
      <w:r>
        <w:rPr>
          <w:rFonts w:ascii="仿宋" w:hAnsi="仿宋" w:eastAsia="仿宋" w:cs="仿宋_GB2312"/>
          <w:color w:val="000000"/>
          <w:kern w:val="0"/>
          <w:sz w:val="32"/>
          <w:szCs w:val="32"/>
        </w:rPr>
        <w:t>万元、公务用车运行费</w:t>
      </w:r>
      <w:r>
        <w:rPr>
          <w:rFonts w:hint="eastAsia" w:ascii="仿宋" w:hAnsi="仿宋" w:eastAsia="仿宋" w:cs="Verdana"/>
          <w:color w:val="000000"/>
          <w:kern w:val="0"/>
          <w:sz w:val="32"/>
          <w:szCs w:val="32"/>
        </w:rPr>
        <w:t>0</w:t>
      </w:r>
      <w:r>
        <w:rPr>
          <w:rFonts w:ascii="仿宋" w:hAnsi="仿宋" w:eastAsia="仿宋" w:cs="仿宋_GB2312"/>
          <w:color w:val="000000"/>
          <w:kern w:val="0"/>
          <w:sz w:val="32"/>
          <w:szCs w:val="32"/>
        </w:rPr>
        <w:t>万元。2018年“三公”经费预算</w:t>
      </w:r>
      <w:r>
        <w:rPr>
          <w:rFonts w:hint="eastAsia" w:ascii="仿宋" w:hAnsi="仿宋" w:eastAsia="仿宋" w:cs="仿宋_GB2312"/>
          <w:color w:val="000000"/>
          <w:kern w:val="0"/>
          <w:sz w:val="32"/>
          <w:szCs w:val="32"/>
        </w:rPr>
        <w:t>与</w:t>
      </w:r>
      <w:r>
        <w:rPr>
          <w:rFonts w:ascii="仿宋" w:hAnsi="仿宋" w:eastAsia="仿宋" w:cs="仿宋_GB2312"/>
          <w:color w:val="000000"/>
          <w:kern w:val="0"/>
          <w:sz w:val="32"/>
          <w:szCs w:val="32"/>
        </w:rPr>
        <w:t>上年</w:t>
      </w:r>
      <w:r>
        <w:rPr>
          <w:rFonts w:hint="eastAsia" w:ascii="仿宋" w:hAnsi="仿宋" w:eastAsia="仿宋" w:cs="仿宋_GB2312"/>
          <w:color w:val="000000"/>
          <w:kern w:val="0"/>
          <w:sz w:val="32"/>
          <w:szCs w:val="32"/>
        </w:rPr>
        <w:t>一致。</w:t>
      </w:r>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十一、机关运行经费安排情况说明</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rPr>
        <w:t>机关运行经费主要是指公用经费，包括办公费、印刷费、差旅费、会议费、福利费、日常维修费、专用材料及一般设备购置费、办公用房水电费、办公用房取暖费、办公用房物业管理费、公务用车运行维护费以及其他费用。</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年本单位机关运行经费预算安排</w:t>
      </w:r>
      <w:r>
        <w:rPr>
          <w:rFonts w:hint="eastAsia" w:ascii="仿宋" w:hAnsi="仿宋" w:eastAsia="仿宋" w:cs="Verdana"/>
          <w:color w:val="000000"/>
          <w:kern w:val="0"/>
          <w:sz w:val="32"/>
          <w:szCs w:val="32"/>
          <w:lang w:val="en-US" w:eastAsia="zh-CN"/>
        </w:rPr>
        <w:t>95</w:t>
      </w:r>
      <w:r>
        <w:rPr>
          <w:rFonts w:ascii="仿宋" w:hAnsi="仿宋" w:eastAsia="仿宋" w:cs="仿宋_GB2312"/>
          <w:color w:val="000000"/>
          <w:kern w:val="0"/>
          <w:sz w:val="32"/>
          <w:szCs w:val="32"/>
        </w:rPr>
        <w:t>万元</w:t>
      </w:r>
      <w:r>
        <w:rPr>
          <w:rFonts w:hint="eastAsia" w:ascii="仿宋" w:hAnsi="仿宋" w:eastAsia="仿宋" w:cs="仿宋_GB2312"/>
          <w:color w:val="000000"/>
          <w:kern w:val="0"/>
          <w:sz w:val="32"/>
          <w:szCs w:val="32"/>
          <w:lang w:eastAsia="zh-CN"/>
        </w:rPr>
        <w:t>，</w:t>
      </w:r>
      <w:r>
        <w:rPr>
          <w:rFonts w:ascii="仿宋" w:hAnsi="仿宋" w:eastAsia="仿宋" w:cs="仿宋_GB2312"/>
          <w:color w:val="000000"/>
          <w:kern w:val="0"/>
          <w:sz w:val="32"/>
          <w:szCs w:val="32"/>
        </w:rPr>
        <w:t>主要原因是：</w:t>
      </w:r>
      <w:r>
        <w:rPr>
          <w:rFonts w:hint="eastAsia" w:ascii="仿宋" w:hAnsi="仿宋" w:eastAsia="仿宋" w:cs="仿宋_GB2312"/>
          <w:color w:val="000000"/>
          <w:kern w:val="0"/>
          <w:sz w:val="32"/>
          <w:szCs w:val="32"/>
          <w:lang w:val="en-US" w:eastAsia="zh-CN"/>
        </w:rPr>
        <w:t>2018年1月开始，宝山区人民法院上划归省管理，各项工资及社会保障由省里拔款。</w:t>
      </w:r>
      <w:bookmarkStart w:id="0" w:name="_GoBack"/>
      <w:bookmarkEnd w:id="0"/>
    </w:p>
    <w:p>
      <w:pPr>
        <w:widowControl/>
        <w:spacing w:line="315" w:lineRule="atLeast"/>
        <w:ind w:firstLine="643"/>
        <w:rPr>
          <w:rFonts w:ascii="黑体" w:hAnsi="黑体" w:eastAsia="黑体"/>
          <w:b/>
          <w:color w:val="000000"/>
          <w:sz w:val="32"/>
          <w:szCs w:val="32"/>
        </w:rPr>
      </w:pPr>
      <w:r>
        <w:rPr>
          <w:rFonts w:hint="eastAsia" w:ascii="黑体" w:hAnsi="黑体" w:eastAsia="黑体" w:cs="黑体"/>
          <w:b/>
          <w:color w:val="2B2B2B"/>
          <w:kern w:val="0"/>
          <w:sz w:val="32"/>
          <w:szCs w:val="32"/>
        </w:rPr>
        <w:t>十二、关于政府采购支出情况说明</w:t>
      </w:r>
    </w:p>
    <w:p>
      <w:pPr>
        <w:widowControl/>
        <w:spacing w:line="315" w:lineRule="atLeast"/>
        <w:ind w:firstLine="64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w:t>
      </w:r>
      <w:r>
        <w:rPr>
          <w:rFonts w:hint="eastAsia" w:ascii="仿宋" w:hAnsi="仿宋" w:eastAsia="仿宋" w:cs="仿宋_GB2312"/>
          <w:color w:val="000000"/>
          <w:kern w:val="0"/>
          <w:sz w:val="32"/>
          <w:szCs w:val="32"/>
        </w:rPr>
        <w:t>无</w:t>
      </w:r>
      <w:r>
        <w:rPr>
          <w:rFonts w:ascii="仿宋" w:hAnsi="仿宋" w:eastAsia="仿宋" w:cs="仿宋_GB2312"/>
          <w:color w:val="000000"/>
          <w:kern w:val="0"/>
          <w:sz w:val="32"/>
          <w:szCs w:val="32"/>
        </w:rPr>
        <w:t>采购预算</w:t>
      </w:r>
      <w:r>
        <w:rPr>
          <w:rFonts w:hint="eastAsia" w:ascii="仿宋" w:hAnsi="仿宋" w:eastAsia="仿宋" w:cs="仿宋_GB2312"/>
          <w:color w:val="000000"/>
          <w:kern w:val="0"/>
          <w:sz w:val="32"/>
          <w:szCs w:val="32"/>
        </w:rPr>
        <w:t xml:space="preserve">。 </w:t>
      </w:r>
    </w:p>
    <w:p>
      <w:pPr>
        <w:widowControl/>
        <w:numPr>
          <w:ilvl w:val="0"/>
          <w:numId w:val="1"/>
        </w:numPr>
        <w:spacing w:line="315" w:lineRule="atLeast"/>
        <w:ind w:firstLine="643"/>
        <w:rPr>
          <w:rFonts w:hint="eastAsia" w:ascii="黑体" w:hAnsi="黑体" w:eastAsia="黑体" w:cs="黑体"/>
          <w:b/>
          <w:color w:val="2B2B2B"/>
          <w:kern w:val="0"/>
          <w:sz w:val="32"/>
          <w:szCs w:val="32"/>
        </w:rPr>
      </w:pPr>
      <w:r>
        <w:rPr>
          <w:rFonts w:hint="eastAsia" w:ascii="黑体" w:hAnsi="黑体" w:eastAsia="黑体" w:cs="黑体"/>
          <w:b/>
          <w:color w:val="2B2B2B"/>
          <w:kern w:val="0"/>
          <w:sz w:val="32"/>
          <w:szCs w:val="32"/>
        </w:rPr>
        <w:t>关于国有资产占有使用情况说明</w:t>
      </w:r>
    </w:p>
    <w:p>
      <w:pPr>
        <w:widowControl/>
        <w:spacing w:line="315" w:lineRule="atLeast"/>
        <w:ind w:firstLine="640"/>
        <w:rPr>
          <w:rFonts w:hint="eastAsia" w:ascii="黑体" w:hAnsi="黑体" w:eastAsia="黑体" w:cs="黑体"/>
          <w:b/>
          <w:color w:val="2B2B2B"/>
          <w:kern w:val="0"/>
          <w:sz w:val="32"/>
          <w:szCs w:val="32"/>
        </w:rPr>
      </w:pPr>
      <w:r>
        <w:rPr>
          <w:rFonts w:ascii="仿宋" w:hAnsi="仿宋" w:eastAsia="仿宋" w:cs="仿宋_GB2312"/>
          <w:color w:val="000000"/>
          <w:kern w:val="0"/>
          <w:sz w:val="32"/>
          <w:szCs w:val="32"/>
          <w:lang w:bidi="ar"/>
        </w:rPr>
        <w:t>截止</w:t>
      </w:r>
      <w:r>
        <w:rPr>
          <w:rFonts w:ascii="仿宋" w:hAnsi="仿宋" w:eastAsia="仿宋" w:cs="Verdana"/>
          <w:color w:val="000000"/>
          <w:kern w:val="0"/>
          <w:sz w:val="32"/>
          <w:szCs w:val="32"/>
          <w:lang w:bidi="ar"/>
        </w:rPr>
        <w:t>201</w:t>
      </w:r>
      <w:r>
        <w:rPr>
          <w:rFonts w:hint="eastAsia" w:ascii="仿宋" w:hAnsi="仿宋" w:eastAsia="仿宋" w:cs="Verdana"/>
          <w:color w:val="000000"/>
          <w:kern w:val="0"/>
          <w:sz w:val="32"/>
          <w:szCs w:val="32"/>
          <w:lang w:val="en-US" w:eastAsia="zh-CN" w:bidi="ar"/>
        </w:rPr>
        <w:t>8</w:t>
      </w:r>
      <w:r>
        <w:rPr>
          <w:rFonts w:ascii="仿宋" w:hAnsi="仿宋" w:eastAsia="仿宋" w:cs="仿宋_GB2312"/>
          <w:color w:val="000000"/>
          <w:kern w:val="0"/>
          <w:sz w:val="32"/>
          <w:szCs w:val="32"/>
          <w:lang w:bidi="ar"/>
        </w:rPr>
        <w:t>年</w:t>
      </w:r>
      <w:r>
        <w:rPr>
          <w:rFonts w:ascii="仿宋" w:hAnsi="仿宋" w:eastAsia="仿宋" w:cs="Verdana"/>
          <w:color w:val="000000"/>
          <w:kern w:val="0"/>
          <w:sz w:val="32"/>
          <w:szCs w:val="32"/>
          <w:lang w:bidi="ar"/>
        </w:rPr>
        <w:t>1</w:t>
      </w:r>
      <w:r>
        <w:rPr>
          <w:rFonts w:ascii="仿宋" w:hAnsi="仿宋" w:eastAsia="仿宋" w:cs="仿宋_GB2312"/>
          <w:color w:val="000000"/>
          <w:kern w:val="0"/>
          <w:sz w:val="32"/>
          <w:szCs w:val="32"/>
          <w:lang w:bidi="ar"/>
        </w:rPr>
        <w:t>月</w:t>
      </w:r>
      <w:r>
        <w:rPr>
          <w:rFonts w:ascii="仿宋" w:hAnsi="仿宋" w:eastAsia="仿宋" w:cs="Verdana"/>
          <w:color w:val="000000"/>
          <w:kern w:val="0"/>
          <w:sz w:val="32"/>
          <w:szCs w:val="32"/>
          <w:lang w:bidi="ar"/>
        </w:rPr>
        <w:t>1</w:t>
      </w:r>
      <w:r>
        <w:rPr>
          <w:rFonts w:ascii="仿宋" w:hAnsi="仿宋" w:eastAsia="仿宋" w:cs="仿宋_GB2312"/>
          <w:color w:val="000000"/>
          <w:kern w:val="0"/>
          <w:sz w:val="32"/>
          <w:szCs w:val="32"/>
          <w:lang w:bidi="ar"/>
        </w:rPr>
        <w:t>日，</w:t>
      </w:r>
      <w:r>
        <w:rPr>
          <w:rFonts w:hint="eastAsia" w:ascii="仿宋" w:hAnsi="仿宋" w:eastAsia="仿宋" w:cs="仿宋_GB2312"/>
          <w:color w:val="000000"/>
          <w:kern w:val="0"/>
          <w:sz w:val="32"/>
          <w:szCs w:val="32"/>
          <w:lang w:bidi="ar"/>
        </w:rPr>
        <w:t>双鸭山</w:t>
      </w:r>
      <w:r>
        <w:rPr>
          <w:rFonts w:ascii="仿宋" w:hAnsi="仿宋" w:eastAsia="仿宋" w:cs="仿宋_GB2312"/>
          <w:color w:val="000000"/>
          <w:kern w:val="0"/>
          <w:sz w:val="32"/>
          <w:szCs w:val="32"/>
          <w:lang w:bidi="ar"/>
        </w:rPr>
        <w:t>市</w:t>
      </w:r>
      <w:r>
        <w:rPr>
          <w:rFonts w:hint="eastAsia" w:ascii="仿宋" w:hAnsi="仿宋" w:eastAsia="仿宋" w:cs="仿宋_GB2312"/>
          <w:color w:val="000000"/>
          <w:kern w:val="0"/>
          <w:sz w:val="32"/>
          <w:szCs w:val="32"/>
          <w:lang w:bidi="ar"/>
        </w:rPr>
        <w:t>宝山区人民法院</w:t>
      </w:r>
      <w:r>
        <w:rPr>
          <w:rFonts w:ascii="仿宋" w:hAnsi="仿宋" w:eastAsia="仿宋" w:cs="仿宋_GB2312"/>
          <w:color w:val="000000"/>
          <w:kern w:val="0"/>
          <w:sz w:val="32"/>
          <w:szCs w:val="32"/>
          <w:lang w:bidi="ar"/>
        </w:rPr>
        <w:t>账面固定资产总值</w:t>
      </w:r>
      <w:r>
        <w:rPr>
          <w:rFonts w:hint="eastAsia" w:ascii="仿宋" w:hAnsi="仿宋" w:eastAsia="仿宋" w:cs="Verdana"/>
          <w:color w:val="000000"/>
          <w:kern w:val="0"/>
          <w:sz w:val="32"/>
          <w:szCs w:val="32"/>
          <w:lang w:bidi="ar"/>
        </w:rPr>
        <w:t>9303284.73</w:t>
      </w:r>
      <w:r>
        <w:rPr>
          <w:rFonts w:ascii="仿宋" w:hAnsi="仿宋" w:eastAsia="仿宋" w:cs="仿宋_GB2312"/>
          <w:color w:val="000000"/>
          <w:kern w:val="0"/>
          <w:sz w:val="32"/>
          <w:szCs w:val="32"/>
          <w:lang w:bidi="ar"/>
        </w:rPr>
        <w:t>元，其中，房屋及建筑物价值</w:t>
      </w:r>
      <w:r>
        <w:rPr>
          <w:rFonts w:hint="eastAsia" w:ascii="仿宋" w:hAnsi="仿宋" w:eastAsia="仿宋" w:cs="Verdana"/>
          <w:color w:val="000000"/>
          <w:kern w:val="0"/>
          <w:sz w:val="32"/>
          <w:szCs w:val="32"/>
          <w:lang w:bidi="ar"/>
        </w:rPr>
        <w:t>3271815.95</w:t>
      </w:r>
      <w:r>
        <w:rPr>
          <w:rFonts w:ascii="仿宋" w:hAnsi="仿宋" w:eastAsia="仿宋" w:cs="仿宋_GB2312"/>
          <w:color w:val="000000"/>
          <w:kern w:val="0"/>
          <w:sz w:val="32"/>
          <w:szCs w:val="32"/>
          <w:lang w:bidi="ar"/>
        </w:rPr>
        <w:t>元，共有车辆</w:t>
      </w:r>
      <w:r>
        <w:rPr>
          <w:rFonts w:hint="eastAsia" w:ascii="仿宋" w:hAnsi="仿宋" w:eastAsia="仿宋" w:cs="Verdana"/>
          <w:color w:val="000000"/>
          <w:kern w:val="0"/>
          <w:sz w:val="32"/>
          <w:szCs w:val="32"/>
          <w:lang w:bidi="ar"/>
        </w:rPr>
        <w:t>16</w:t>
      </w:r>
      <w:r>
        <w:rPr>
          <w:rFonts w:ascii="仿宋" w:hAnsi="仿宋" w:eastAsia="仿宋" w:cs="仿宋_GB2312"/>
          <w:color w:val="000000"/>
          <w:kern w:val="0"/>
          <w:sz w:val="32"/>
          <w:szCs w:val="32"/>
          <w:lang w:bidi="ar"/>
        </w:rPr>
        <w:t>台，价值</w:t>
      </w:r>
      <w:r>
        <w:rPr>
          <w:rFonts w:hint="eastAsia" w:ascii="仿宋" w:hAnsi="仿宋" w:eastAsia="仿宋" w:cs="Verdana"/>
          <w:color w:val="000000"/>
          <w:kern w:val="0"/>
          <w:sz w:val="32"/>
          <w:szCs w:val="32"/>
          <w:lang w:bidi="ar"/>
        </w:rPr>
        <w:t>2519827.35</w:t>
      </w:r>
      <w:r>
        <w:rPr>
          <w:rFonts w:ascii="仿宋" w:hAnsi="仿宋" w:eastAsia="仿宋" w:cs="仿宋_GB2312"/>
          <w:color w:val="000000"/>
          <w:kern w:val="0"/>
          <w:sz w:val="32"/>
          <w:szCs w:val="32"/>
          <w:lang w:bidi="ar"/>
        </w:rPr>
        <w:t>元，其他资产</w:t>
      </w:r>
      <w:r>
        <w:rPr>
          <w:rFonts w:hint="eastAsia" w:ascii="仿宋" w:hAnsi="仿宋" w:eastAsia="仿宋" w:cs="Verdana"/>
          <w:color w:val="000000"/>
          <w:kern w:val="0"/>
          <w:sz w:val="32"/>
          <w:szCs w:val="32"/>
          <w:lang w:bidi="ar"/>
        </w:rPr>
        <w:t>3511641.43</w:t>
      </w:r>
      <w:r>
        <w:rPr>
          <w:rFonts w:ascii="仿宋" w:hAnsi="仿宋" w:eastAsia="仿宋" w:cs="仿宋_GB2312"/>
          <w:color w:val="000000"/>
          <w:kern w:val="0"/>
          <w:sz w:val="32"/>
          <w:szCs w:val="32"/>
          <w:lang w:bidi="ar"/>
        </w:rPr>
        <w:t>元</w:t>
      </w:r>
      <w:r>
        <w:rPr>
          <w:rFonts w:hint="eastAsia" w:ascii="仿宋" w:hAnsi="仿宋" w:eastAsia="仿宋" w:cs="仿宋_GB2312"/>
          <w:color w:val="000000"/>
          <w:kern w:val="0"/>
          <w:sz w:val="32"/>
          <w:szCs w:val="32"/>
          <w:lang w:bidi="ar"/>
        </w:rPr>
        <w:t>。</w:t>
      </w:r>
    </w:p>
    <w:p>
      <w:pPr>
        <w:widowControl/>
        <w:spacing w:line="315" w:lineRule="atLeast"/>
        <w:ind w:firstLine="643"/>
        <w:rPr>
          <w:rFonts w:ascii="黑体" w:hAnsi="黑体" w:eastAsia="黑体" w:cs="黑体"/>
          <w:b/>
          <w:color w:val="2B2B2B"/>
          <w:kern w:val="0"/>
          <w:sz w:val="32"/>
          <w:szCs w:val="32"/>
        </w:rPr>
      </w:pPr>
      <w:r>
        <w:rPr>
          <w:rFonts w:hint="eastAsia" w:ascii="黑体" w:hAnsi="黑体" w:eastAsia="黑体" w:cs="黑体"/>
          <w:b/>
          <w:color w:val="2B2B2B"/>
          <w:kern w:val="0"/>
          <w:sz w:val="32"/>
          <w:szCs w:val="32"/>
        </w:rPr>
        <w:t>十四、关于绩效评价情况说明</w:t>
      </w:r>
    </w:p>
    <w:p>
      <w:pPr>
        <w:widowControl/>
        <w:spacing w:line="315" w:lineRule="atLeast"/>
        <w:ind w:firstLine="640" w:firstLineChars="2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双鸭山</w:t>
      </w:r>
      <w:r>
        <w:rPr>
          <w:rFonts w:ascii="仿宋" w:hAnsi="仿宋" w:eastAsia="仿宋" w:cs="仿宋_GB2312"/>
          <w:color w:val="000000"/>
          <w:kern w:val="0"/>
          <w:sz w:val="32"/>
          <w:szCs w:val="32"/>
        </w:rPr>
        <w:t>市</w:t>
      </w:r>
      <w:r>
        <w:rPr>
          <w:rFonts w:hint="eastAsia" w:ascii="仿宋" w:hAnsi="仿宋" w:eastAsia="仿宋" w:cs="仿宋_GB2312"/>
          <w:color w:val="000000"/>
          <w:kern w:val="0"/>
          <w:sz w:val="32"/>
          <w:szCs w:val="32"/>
        </w:rPr>
        <w:t>宝</w:t>
      </w:r>
      <w:r>
        <w:rPr>
          <w:rFonts w:hint="eastAsia" w:ascii="仿宋" w:hAnsi="仿宋" w:eastAsia="仿宋" w:cs="宋体"/>
          <w:color w:val="000000"/>
          <w:kern w:val="0"/>
          <w:sz w:val="32"/>
          <w:szCs w:val="32"/>
        </w:rPr>
        <w:t>山区人民代表大会常务委员会</w:t>
      </w:r>
      <w:r>
        <w:rPr>
          <w:rFonts w:hint="eastAsia" w:ascii="仿宋" w:hAnsi="仿宋" w:eastAsia="仿宋" w:cs="宋体"/>
          <w:color w:val="000000"/>
          <w:kern w:val="0"/>
          <w:sz w:val="32"/>
          <w:szCs w:val="32"/>
          <w:lang w:eastAsia="zh-CN"/>
        </w:rPr>
        <w:t>法院</w:t>
      </w:r>
      <w:r>
        <w:rPr>
          <w:rFonts w:ascii="仿宋" w:hAnsi="仿宋" w:eastAsia="仿宋" w:cs="Verdana"/>
          <w:color w:val="000000"/>
          <w:kern w:val="0"/>
          <w:sz w:val="32"/>
          <w:szCs w:val="32"/>
        </w:rPr>
        <w:t>2018</w:t>
      </w:r>
      <w:r>
        <w:rPr>
          <w:rFonts w:ascii="仿宋" w:hAnsi="仿宋" w:eastAsia="仿宋" w:cs="仿宋_GB2312"/>
          <w:color w:val="000000"/>
          <w:kern w:val="0"/>
          <w:sz w:val="32"/>
          <w:szCs w:val="32"/>
        </w:rPr>
        <w:t>年</w:t>
      </w:r>
      <w:r>
        <w:rPr>
          <w:rFonts w:hint="eastAsia" w:ascii="仿宋" w:hAnsi="仿宋" w:eastAsia="仿宋" w:cs="仿宋_GB2312"/>
          <w:color w:val="000000"/>
          <w:kern w:val="0"/>
          <w:sz w:val="32"/>
          <w:szCs w:val="32"/>
        </w:rPr>
        <w:t>没有项目实行绩效目标管理。</w:t>
      </w:r>
    </w:p>
    <w:p>
      <w:pPr>
        <w:widowControl/>
        <w:spacing w:line="315" w:lineRule="atLeast"/>
        <w:jc w:val="center"/>
        <w:rPr>
          <w:rFonts w:ascii="黑体" w:hAnsi="黑体" w:eastAsia="黑体"/>
          <w:b/>
          <w:color w:val="000000"/>
          <w:sz w:val="32"/>
          <w:szCs w:val="32"/>
        </w:rPr>
      </w:pPr>
      <w:r>
        <w:rPr>
          <w:rFonts w:hint="eastAsia" w:ascii="黑体" w:hAnsi="黑体" w:eastAsia="黑体" w:cs="黑体"/>
          <w:b/>
          <w:color w:val="000000"/>
          <w:kern w:val="0"/>
          <w:sz w:val="32"/>
          <w:szCs w:val="32"/>
        </w:rPr>
        <w:t>第四部分</w:t>
      </w:r>
      <w:r>
        <w:rPr>
          <w:rFonts w:ascii="Verdana" w:hAnsi="Verdana" w:eastAsia="黑体" w:cs="Verdana"/>
          <w:b/>
          <w:color w:val="000000"/>
          <w:kern w:val="0"/>
          <w:sz w:val="32"/>
          <w:szCs w:val="32"/>
        </w:rPr>
        <w:t>   </w:t>
      </w:r>
      <w:r>
        <w:rPr>
          <w:rFonts w:hint="eastAsia" w:ascii="黑体" w:hAnsi="黑体" w:eastAsia="黑体" w:cs="黑体"/>
          <w:b/>
          <w:color w:val="000000"/>
          <w:kern w:val="0"/>
          <w:sz w:val="32"/>
          <w:szCs w:val="32"/>
        </w:rPr>
        <w:t>名词解释</w:t>
      </w:r>
    </w:p>
    <w:p>
      <w:pPr>
        <w:widowControl/>
        <w:spacing w:line="315" w:lineRule="atLeast"/>
        <w:ind w:firstLine="480"/>
        <w:rPr>
          <w:rFonts w:ascii="仿宋" w:hAnsi="仿宋" w:eastAsia="仿宋"/>
          <w:color w:val="000000"/>
          <w:sz w:val="32"/>
          <w:szCs w:val="32"/>
        </w:rPr>
      </w:pPr>
      <w:r>
        <w:rPr>
          <w:rFonts w:hint="eastAsia" w:ascii="仿宋" w:hAnsi="仿宋" w:eastAsia="仿宋" w:cs="仿宋_GB2312"/>
          <w:color w:val="000000"/>
          <w:kern w:val="0"/>
          <w:sz w:val="32"/>
          <w:szCs w:val="32"/>
          <w:lang w:bidi="ar"/>
        </w:rPr>
        <w:t>双鸭山</w:t>
      </w:r>
      <w:r>
        <w:rPr>
          <w:rFonts w:ascii="仿宋" w:hAnsi="仿宋" w:eastAsia="仿宋" w:cs="仿宋_GB2312"/>
          <w:color w:val="000000"/>
          <w:kern w:val="0"/>
          <w:sz w:val="32"/>
          <w:szCs w:val="32"/>
          <w:lang w:bidi="ar"/>
        </w:rPr>
        <w:t>市</w:t>
      </w:r>
      <w:r>
        <w:rPr>
          <w:rFonts w:hint="eastAsia" w:ascii="仿宋" w:hAnsi="仿宋" w:eastAsia="仿宋" w:cs="仿宋_GB2312"/>
          <w:color w:val="000000"/>
          <w:kern w:val="0"/>
          <w:sz w:val="32"/>
          <w:szCs w:val="32"/>
          <w:lang w:bidi="ar"/>
        </w:rPr>
        <w:t>宝山区人民法院</w:t>
      </w:r>
      <w:r>
        <w:rPr>
          <w:rFonts w:ascii="仿宋" w:hAnsi="仿宋" w:eastAsia="仿宋" w:cs="Verdana"/>
          <w:color w:val="000000"/>
          <w:kern w:val="0"/>
          <w:sz w:val="32"/>
          <w:szCs w:val="32"/>
          <w:lang w:bidi="ar"/>
        </w:rPr>
        <w:t>201</w:t>
      </w:r>
      <w:r>
        <w:rPr>
          <w:rFonts w:hint="eastAsia" w:ascii="仿宋" w:hAnsi="仿宋" w:eastAsia="仿宋" w:cs="Verdana"/>
          <w:color w:val="000000"/>
          <w:kern w:val="0"/>
          <w:sz w:val="32"/>
          <w:szCs w:val="32"/>
          <w:lang w:val="en-US" w:eastAsia="zh-CN" w:bidi="ar"/>
        </w:rPr>
        <w:t>8</w:t>
      </w:r>
      <w:r>
        <w:rPr>
          <w:rFonts w:ascii="仿宋" w:hAnsi="仿宋" w:eastAsia="仿宋" w:cs="仿宋_GB2312"/>
          <w:color w:val="000000"/>
          <w:kern w:val="0"/>
          <w:sz w:val="32"/>
          <w:szCs w:val="32"/>
          <w:lang w:bidi="ar"/>
        </w:rPr>
        <w:t>年部门预算及“三公”经费预算中相关名词解释如下：</w:t>
      </w:r>
    </w:p>
    <w:p>
      <w:pPr>
        <w:widowControl/>
        <w:spacing w:line="315" w:lineRule="atLeast"/>
        <w:ind w:firstLine="628"/>
        <w:rPr>
          <w:rFonts w:ascii="仿宋" w:hAnsi="仿宋" w:eastAsia="仿宋"/>
          <w:color w:val="000000"/>
          <w:sz w:val="32"/>
          <w:szCs w:val="32"/>
        </w:rPr>
      </w:pPr>
      <w:r>
        <w:rPr>
          <w:rFonts w:ascii="仿宋" w:hAnsi="仿宋" w:eastAsia="仿宋" w:cs="仿宋_GB2312"/>
          <w:color w:val="000000"/>
          <w:kern w:val="0"/>
          <w:sz w:val="32"/>
          <w:szCs w:val="32"/>
          <w:lang w:bidi="ar"/>
        </w:rPr>
        <w:t>一、财政拨款收入：反映财政部门用一般预算收入安排的预算单位资金。</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二、一般公共服务（类）机构事务（款）：反映本级财政部门的支出。</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三、行政运行：反映行政单位</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包括财政全额拨款的事业单位</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的基本支出。</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四、一般行政管理事务：反映行政单位</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包括财政全额拨款的事业单位</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未单独设置项级科目的其他项目支出。</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五、 社会保障和就业</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类</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行政事业单位离退休</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款</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：反映用于行政事业单位离退休方面的支出。</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六、 归口管理的行政单位离退休支出：反映实行归口管理的行政单位开支的离退休经费。</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七、住房保障支出</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类</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住房改革支出</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款</w:t>
      </w:r>
      <w:r>
        <w:rPr>
          <w:rFonts w:ascii="仿宋" w:hAnsi="仿宋" w:eastAsia="仿宋" w:cs="Verdana"/>
          <w:color w:val="000000"/>
          <w:kern w:val="0"/>
          <w:sz w:val="32"/>
          <w:szCs w:val="32"/>
          <w:lang w:bidi="ar"/>
        </w:rPr>
        <w:t>)</w:t>
      </w:r>
      <w:r>
        <w:rPr>
          <w:rFonts w:ascii="仿宋" w:hAnsi="仿宋" w:eastAsia="仿宋" w:cs="仿宋_GB2312"/>
          <w:color w:val="000000"/>
          <w:kern w:val="0"/>
          <w:sz w:val="32"/>
          <w:szCs w:val="32"/>
          <w:lang w:bidi="ar"/>
        </w:rPr>
        <w:t>：指用于住房改革方面的支出。</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八、住房公积金：反映行政事业单位按人力资源和社会保障部、财政部规定的基本工资和津贴补贴以及规定比例为职工缴纳的住房公积金。</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九、基本支出：指为保障机构正常运转、完成日常工作任务而发生的人员支出和公用支出。</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十、项目支出：指在基本支出之外为完成特定行政任务和事业发展目标所发生的支出。</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十一、公务用车购置及运行费：单位公务用车购置费及租用费、燃料费、维修费、过路过桥费、保险费、安全奖励费用等支出，公务用车指用于履行公务的机动车辆、包括领导干部专车、一般公务用车和执法执勤用车。</w:t>
      </w:r>
    </w:p>
    <w:p>
      <w:pPr>
        <w:widowControl/>
        <w:spacing w:line="315" w:lineRule="atLeast"/>
        <w:ind w:firstLine="640"/>
        <w:rPr>
          <w:rFonts w:ascii="仿宋" w:hAnsi="仿宋" w:eastAsia="仿宋"/>
          <w:color w:val="000000"/>
          <w:sz w:val="32"/>
          <w:szCs w:val="32"/>
        </w:rPr>
      </w:pPr>
      <w:r>
        <w:rPr>
          <w:rFonts w:ascii="仿宋" w:hAnsi="仿宋" w:eastAsia="仿宋" w:cs="仿宋_GB2312"/>
          <w:color w:val="000000"/>
          <w:kern w:val="0"/>
          <w:sz w:val="32"/>
          <w:szCs w:val="32"/>
          <w:lang w:bidi="ar"/>
        </w:rPr>
        <w:t>十二、公务接待费：单位按规定开支的各类公务接待（含外宾接待）支出。</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09458"/>
    <w:multiLevelType w:val="singleLevel"/>
    <w:tmpl w:val="80E09458"/>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D27C49"/>
    <w:rsid w:val="00007851"/>
    <w:rsid w:val="00026E75"/>
    <w:rsid w:val="00031665"/>
    <w:rsid w:val="000609E5"/>
    <w:rsid w:val="00120766"/>
    <w:rsid w:val="00152026"/>
    <w:rsid w:val="001912F6"/>
    <w:rsid w:val="00193580"/>
    <w:rsid w:val="00197DC5"/>
    <w:rsid w:val="001E64CC"/>
    <w:rsid w:val="00220819"/>
    <w:rsid w:val="002D450F"/>
    <w:rsid w:val="00387280"/>
    <w:rsid w:val="003908CF"/>
    <w:rsid w:val="00391F5E"/>
    <w:rsid w:val="003B24F2"/>
    <w:rsid w:val="003B5E3E"/>
    <w:rsid w:val="004233FC"/>
    <w:rsid w:val="004815D9"/>
    <w:rsid w:val="00496C04"/>
    <w:rsid w:val="004C6364"/>
    <w:rsid w:val="0055589E"/>
    <w:rsid w:val="005B6C05"/>
    <w:rsid w:val="005F7773"/>
    <w:rsid w:val="00661651"/>
    <w:rsid w:val="006B2707"/>
    <w:rsid w:val="006C4CF7"/>
    <w:rsid w:val="006C7126"/>
    <w:rsid w:val="006D5201"/>
    <w:rsid w:val="007072FC"/>
    <w:rsid w:val="0070730B"/>
    <w:rsid w:val="00771017"/>
    <w:rsid w:val="00784E2F"/>
    <w:rsid w:val="007C4DF2"/>
    <w:rsid w:val="007E3C22"/>
    <w:rsid w:val="007F3203"/>
    <w:rsid w:val="00801B2A"/>
    <w:rsid w:val="0080706C"/>
    <w:rsid w:val="00834B04"/>
    <w:rsid w:val="00837E91"/>
    <w:rsid w:val="00867450"/>
    <w:rsid w:val="00880B10"/>
    <w:rsid w:val="008A1A1D"/>
    <w:rsid w:val="00934926"/>
    <w:rsid w:val="00976BFC"/>
    <w:rsid w:val="009A1CDA"/>
    <w:rsid w:val="009A3314"/>
    <w:rsid w:val="009F4E97"/>
    <w:rsid w:val="00A34EA6"/>
    <w:rsid w:val="00A6559C"/>
    <w:rsid w:val="00AA48BC"/>
    <w:rsid w:val="00B15EB2"/>
    <w:rsid w:val="00B45843"/>
    <w:rsid w:val="00B52418"/>
    <w:rsid w:val="00B71AFA"/>
    <w:rsid w:val="00BB6F97"/>
    <w:rsid w:val="00BD4EA7"/>
    <w:rsid w:val="00C02A52"/>
    <w:rsid w:val="00C035C0"/>
    <w:rsid w:val="00C32375"/>
    <w:rsid w:val="00C64FB3"/>
    <w:rsid w:val="00C65AB1"/>
    <w:rsid w:val="00C66C52"/>
    <w:rsid w:val="00C7468B"/>
    <w:rsid w:val="00CA6473"/>
    <w:rsid w:val="00CC7984"/>
    <w:rsid w:val="00D27C49"/>
    <w:rsid w:val="00D52EA8"/>
    <w:rsid w:val="00DA7E3F"/>
    <w:rsid w:val="00DC3CFD"/>
    <w:rsid w:val="00DC436C"/>
    <w:rsid w:val="00DC70EE"/>
    <w:rsid w:val="00DE73D9"/>
    <w:rsid w:val="00E110CD"/>
    <w:rsid w:val="00E5353A"/>
    <w:rsid w:val="00E63651"/>
    <w:rsid w:val="00E717A6"/>
    <w:rsid w:val="00E9600E"/>
    <w:rsid w:val="00EA7491"/>
    <w:rsid w:val="00EE5F3E"/>
    <w:rsid w:val="00F507C9"/>
    <w:rsid w:val="00F61190"/>
    <w:rsid w:val="00F730B1"/>
    <w:rsid w:val="00F75EA3"/>
    <w:rsid w:val="00F86F21"/>
    <w:rsid w:val="00F949EA"/>
    <w:rsid w:val="00FA1C3B"/>
    <w:rsid w:val="00FC5D0C"/>
    <w:rsid w:val="00FD0F8E"/>
    <w:rsid w:val="00FD638F"/>
    <w:rsid w:val="00FF0B51"/>
    <w:rsid w:val="00FF182D"/>
    <w:rsid w:val="00FF41F2"/>
    <w:rsid w:val="090407B5"/>
    <w:rsid w:val="0D0E1702"/>
    <w:rsid w:val="0E021DC8"/>
    <w:rsid w:val="13BF55CA"/>
    <w:rsid w:val="150A371C"/>
    <w:rsid w:val="16D10AE9"/>
    <w:rsid w:val="187B5677"/>
    <w:rsid w:val="24234D3F"/>
    <w:rsid w:val="24A16F0A"/>
    <w:rsid w:val="2739378E"/>
    <w:rsid w:val="27EC145D"/>
    <w:rsid w:val="2AFC17F8"/>
    <w:rsid w:val="2B9B5618"/>
    <w:rsid w:val="2C2346AD"/>
    <w:rsid w:val="2C923B01"/>
    <w:rsid w:val="47B31AE1"/>
    <w:rsid w:val="4A0D0228"/>
    <w:rsid w:val="4A0E1495"/>
    <w:rsid w:val="4E457763"/>
    <w:rsid w:val="5013418A"/>
    <w:rsid w:val="548F4A5F"/>
    <w:rsid w:val="57BB6148"/>
    <w:rsid w:val="5AC70173"/>
    <w:rsid w:val="619739DD"/>
    <w:rsid w:val="63C71EA1"/>
    <w:rsid w:val="67F611CB"/>
    <w:rsid w:val="68CE40E4"/>
    <w:rsid w:val="6B2F6A13"/>
    <w:rsid w:val="6BCE4DB0"/>
    <w:rsid w:val="6C976EC9"/>
    <w:rsid w:val="71DD309C"/>
    <w:rsid w:val="71DF2423"/>
    <w:rsid w:val="773E0D64"/>
    <w:rsid w:val="788C0659"/>
    <w:rsid w:val="78E01A37"/>
    <w:rsid w:val="7A1E5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2"/>
    <w:unhideWhenUsed/>
    <w:uiPriority w:val="99"/>
    <w:pPr>
      <w:widowControl/>
      <w:jc w:val="left"/>
    </w:pPr>
    <w:rPr>
      <w:rFonts w:ascii="宋体" w:hAnsi="宋体" w:cs="宋体"/>
      <w:kern w:val="0"/>
      <w:sz w:val="24"/>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customStyle="1" w:styleId="9">
    <w:name w:val="页脚 Char"/>
    <w:basedOn w:val="6"/>
    <w:link w:val="2"/>
    <w:uiPriority w:val="0"/>
    <w:rPr>
      <w:rFonts w:ascii="Calibri" w:hAnsi="Calibri"/>
      <w:kern w:val="2"/>
      <w:sz w:val="18"/>
      <w:szCs w:val="18"/>
    </w:rPr>
  </w:style>
  <w:style w:type="character" w:customStyle="1" w:styleId="10">
    <w:name w:val="页眉 Char"/>
    <w:basedOn w:val="6"/>
    <w:link w:val="3"/>
    <w:qFormat/>
    <w:uiPriority w:val="0"/>
    <w:rPr>
      <w:rFonts w:ascii="Calibri" w:hAnsi="Calibri"/>
      <w:kern w:val="2"/>
      <w:sz w:val="18"/>
      <w:szCs w:val="18"/>
    </w:rPr>
  </w:style>
  <w:style w:type="paragraph" w:styleId="11">
    <w:name w:val="List Paragraph"/>
    <w:basedOn w:val="1"/>
    <w:qFormat/>
    <w:uiPriority w:val="99"/>
    <w:pPr>
      <w:ind w:firstLine="420" w:firstLineChars="200"/>
    </w:pPr>
  </w:style>
  <w:style w:type="character" w:customStyle="1" w:styleId="12">
    <w:name w:val="HTML 预设格式 Char"/>
    <w:basedOn w:val="6"/>
    <w:link w:val="4"/>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527</Words>
  <Characters>3009</Characters>
  <Lines>25</Lines>
  <Paragraphs>7</Paragraphs>
  <TotalTime>0</TotalTime>
  <ScaleCrop>false</ScaleCrop>
  <LinksUpToDate>false</LinksUpToDate>
  <CharactersWithSpaces>3529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2018-04-08T05:53:00Z</dcterms:created>
  <dc:creator>Administrator</dc:creator>
  <cp:lastModifiedBy>Administrator</cp:lastModifiedBy>
  <cp:lastPrinted>2018-03-22T09:41:00Z</cp:lastPrinted>
  <dcterms:modified xsi:type="dcterms:W3CDTF">2018-04-09T06:38:27Z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