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01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《宝山区重污染天气应急预案》的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政策解读</w:t>
      </w:r>
      <w:bookmarkEnd w:id="0"/>
    </w:p>
    <w:p w14:paraId="5869B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8D0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eastAsia" w:ascii="黑体" w:hAnsi="黑体" w:eastAsia="黑体" w:cs="黑体"/>
          <w:color w:val="000000"/>
          <w:ker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kern w:val="1"/>
          <w:sz w:val="32"/>
          <w:szCs w:val="32"/>
        </w:rPr>
        <w:t>编制</w:t>
      </w:r>
      <w:r>
        <w:rPr>
          <w:rFonts w:hint="eastAsia" w:ascii="黑体" w:hAnsi="黑体" w:eastAsia="黑体" w:cs="黑体"/>
          <w:color w:val="000000"/>
          <w:kern w:val="1"/>
          <w:sz w:val="32"/>
          <w:szCs w:val="32"/>
          <w:lang w:val="en-US" w:eastAsia="zh-CN"/>
        </w:rPr>
        <w:t>背景</w:t>
      </w:r>
    </w:p>
    <w:p w14:paraId="38046D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为切实发挥重污染天气应急预案作用，及时发布相应级别预警，采取有效措施，减少重污染天气发生频率和污染程度，强化重污染天气应对，更好保障人民群众身体健康和经济社会高质量发展，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《宝山区重污染天气应急预案》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（以下简称《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预案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》）解读如下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 w14:paraId="74EB27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、制定依据</w:t>
      </w:r>
    </w:p>
    <w:p w14:paraId="33884B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《中华人民共和国大气污染防治法》《黑龙江省大气污染防治条例》《环境空气质量标准》（GB3095-2012）《环境空气质量指数（AQI）技术规定（试行）》（HJ633-2012）《城市大气重污染应急预案编制指南》《重污染天气预警分级标准和应急减排措施修订工作方案》《关于推进重污染天气应急预案修订工作的指导意见》《关于加强重污染天气应对夯实应急减排措施的指导意见》《黑龙江省突发事件应急预案管理办法》《黑龙江省打赢蓝天保卫战三年行动计划》《黑龙江省突发环境事件应急预案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《关于进一步优化重污染天气应对机制的指导意见》（环大气〔2024〕6）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597BE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1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1"/>
          <w:sz w:val="32"/>
          <w:szCs w:val="32"/>
        </w:rPr>
        <w:t>主要内容</w:t>
      </w:r>
    </w:p>
    <w:p w14:paraId="63541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《预案》主要包括六部分内容，较2021年印发实施的《宝山区重污染天气应急预案》重点修订了预警分级标准、调整了预案制定的依据等有关内容。</w:t>
      </w:r>
    </w:p>
    <w:p w14:paraId="386981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第一部分总则。明确了《预案》编制目的、编制依据、适用范围、工作原则等内容。</w:t>
      </w:r>
    </w:p>
    <w:p w14:paraId="478A67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第二部分组织机构及其职责。明确了区应急指挥部、区应急指挥部办公室、成员单位及相关企业的应急职责。</w:t>
      </w:r>
    </w:p>
    <w:p w14:paraId="03BDCB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第三部分预警。明确了预警分级、预警发布与解除、预警措施、区域应急联动等内容。宝山区重污染天气应急响应实行三级预警，预警级别由低到高分为黄色、橙色、红色预警。黄色预警标准调整为预测日AQI&gt;200或日AQI&gt;150持续48小时及以上，且未达到高级别预警条件时；橙色预警标准调整为预测日AQI&gt;200持续48小时或日AQI&gt;150持续72小时以上，且未达到高级别预警条件时；红色预警标准调整为预测日AQI&gt;200持续72小时且日AQI&gt;300持续24小时以上。</w:t>
      </w:r>
    </w:p>
    <w:p w14:paraId="01B5E7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第四部分应急响应。明确了应急响应启动、应急响应措施、响应措施的监督、响应终止等过程和程序</w:t>
      </w:r>
      <w:r>
        <w:rPr>
          <w:rFonts w:hint="eastAsia" w:ascii="仿宋_GB2312" w:hAnsi="仿宋_GB2312" w:eastAsia="仿宋_GB2312" w:cs="仿宋_GB2312"/>
          <w:color w:val="0000FF"/>
          <w:kern w:val="1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明确了响应措施的总体要求和Ⅲ级响应措施、II级响应措施、I级响应措施具体内容。</w:t>
      </w:r>
    </w:p>
    <w:p w14:paraId="675445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第五部分监督管理。从公众宣传、应急演练、应急培训、责任追究等方面提出了要求。</w:t>
      </w:r>
    </w:p>
    <w:p w14:paraId="5A0971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640" w:firstLineChars="200"/>
        <w:jc w:val="both"/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 w:bidi="ar-SA"/>
        </w:rPr>
        <w:t>第六部分是附则。明确了《预案》的修订、解释和实施的时限要求。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EDE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14608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146083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E04C1"/>
    <w:multiLevelType w:val="singleLevel"/>
    <w:tmpl w:val="5B5E04C1"/>
    <w:lvl w:ilvl="0" w:tentative="0">
      <w:start w:val="3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ZjlkMzYyODE5NTgyMDQxODUxZGM0YWNjNzI5ZGYifQ=="/>
  </w:docVars>
  <w:rsids>
    <w:rsidRoot w:val="00000000"/>
    <w:rsid w:val="0D8E48B6"/>
    <w:rsid w:val="4EF0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970</Characters>
  <Lines>0</Lines>
  <Paragraphs>0</Paragraphs>
  <TotalTime>1</TotalTime>
  <ScaleCrop>false</ScaleCrop>
  <LinksUpToDate>false</LinksUpToDate>
  <CharactersWithSpaces>972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Administrator</dc:creator>
  <cp:lastModifiedBy>best life</cp:lastModifiedBy>
  <dcterms:modified xsi:type="dcterms:W3CDTF">2025-08-13T07:51:22Z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8479C1FD5BC94A0A8136751358B2D7DE_12</vt:lpwstr>
  </property>
  <property fmtid="{D5CDD505-2E9C-101B-9397-08002B2CF9AE}" pid="4" name="KSOTemplateDocerSaveRecord">
    <vt:lpwstr>eyJoZGlkIjoiODllOGM2YzI0Y2U1Y2NjNGY5Mzg2NmM5YzE2NjMwMGQiLCJ1c2VySWQiOiIxMjk0NTkwNjU1In0=</vt:lpwstr>
  </property>
</Properties>
</file>