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CF93D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highlight w:val="none"/>
          <w:lang w:val="en-US" w:eastAsia="zh-CN"/>
        </w:rPr>
      </w:pPr>
    </w:p>
    <w:p w14:paraId="04F2BC1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政</w:t>
      </w:r>
      <w:r>
        <w:rPr>
          <w:rFonts w:hint="eastAsia" w:ascii="方正小标宋简体" w:hAnsi="方正小标宋简体" w:eastAsia="方正小标宋简体" w:cs="方正小标宋简体"/>
          <w:sz w:val="44"/>
          <w:szCs w:val="44"/>
          <w:highlight w:val="none"/>
          <w:lang w:val="en-US" w:eastAsia="zh-CN"/>
        </w:rPr>
        <w:t xml:space="preserve"> </w:t>
      </w:r>
      <w:r>
        <w:rPr>
          <w:rFonts w:hint="eastAsia" w:ascii="方正小标宋简体" w:hAnsi="方正小标宋简体" w:eastAsia="方正小标宋简体" w:cs="方正小标宋简体"/>
          <w:sz w:val="44"/>
          <w:szCs w:val="44"/>
          <w:highlight w:val="none"/>
        </w:rPr>
        <w:t>府</w:t>
      </w:r>
      <w:r>
        <w:rPr>
          <w:rFonts w:hint="eastAsia" w:ascii="方正小标宋简体" w:hAnsi="方正小标宋简体" w:eastAsia="方正小标宋简体" w:cs="方正小标宋简体"/>
          <w:sz w:val="44"/>
          <w:szCs w:val="44"/>
          <w:highlight w:val="none"/>
          <w:lang w:val="en-US" w:eastAsia="zh-CN"/>
        </w:rPr>
        <w:t xml:space="preserve"> </w:t>
      </w:r>
      <w:r>
        <w:rPr>
          <w:rFonts w:hint="eastAsia" w:ascii="方正小标宋简体" w:hAnsi="方正小标宋简体" w:eastAsia="方正小标宋简体" w:cs="方正小标宋简体"/>
          <w:sz w:val="44"/>
          <w:szCs w:val="44"/>
          <w:highlight w:val="none"/>
        </w:rPr>
        <w:t>工</w:t>
      </w:r>
      <w:r>
        <w:rPr>
          <w:rFonts w:hint="eastAsia" w:ascii="方正小标宋简体" w:hAnsi="方正小标宋简体" w:eastAsia="方正小标宋简体" w:cs="方正小标宋简体"/>
          <w:sz w:val="44"/>
          <w:szCs w:val="44"/>
          <w:highlight w:val="none"/>
          <w:lang w:val="en-US" w:eastAsia="zh-CN"/>
        </w:rPr>
        <w:t xml:space="preserve"> </w:t>
      </w:r>
      <w:r>
        <w:rPr>
          <w:rFonts w:hint="eastAsia" w:ascii="方正小标宋简体" w:hAnsi="方正小标宋简体" w:eastAsia="方正小标宋简体" w:cs="方正小标宋简体"/>
          <w:sz w:val="44"/>
          <w:szCs w:val="44"/>
          <w:highlight w:val="none"/>
        </w:rPr>
        <w:t>作</w:t>
      </w:r>
      <w:r>
        <w:rPr>
          <w:rFonts w:hint="eastAsia" w:ascii="方正小标宋简体" w:hAnsi="方正小标宋简体" w:eastAsia="方正小标宋简体" w:cs="方正小标宋简体"/>
          <w:sz w:val="44"/>
          <w:szCs w:val="44"/>
          <w:highlight w:val="none"/>
          <w:lang w:val="en-US" w:eastAsia="zh-CN"/>
        </w:rPr>
        <w:t xml:space="preserve"> </w:t>
      </w:r>
      <w:r>
        <w:rPr>
          <w:rFonts w:hint="eastAsia" w:ascii="方正小标宋简体" w:hAnsi="方正小标宋简体" w:eastAsia="方正小标宋简体" w:cs="方正小标宋简体"/>
          <w:sz w:val="44"/>
          <w:szCs w:val="44"/>
          <w:highlight w:val="none"/>
        </w:rPr>
        <w:t>报</w:t>
      </w:r>
      <w:r>
        <w:rPr>
          <w:rFonts w:hint="eastAsia" w:ascii="方正小标宋简体" w:hAnsi="方正小标宋简体" w:eastAsia="方正小标宋简体" w:cs="方正小标宋简体"/>
          <w:sz w:val="44"/>
          <w:szCs w:val="44"/>
          <w:highlight w:val="none"/>
          <w:lang w:val="en-US" w:eastAsia="zh-CN"/>
        </w:rPr>
        <w:t xml:space="preserve"> </w:t>
      </w:r>
      <w:r>
        <w:rPr>
          <w:rFonts w:hint="eastAsia" w:ascii="方正小标宋简体" w:hAnsi="方正小标宋简体" w:eastAsia="方正小标宋简体" w:cs="方正小标宋简体"/>
          <w:sz w:val="44"/>
          <w:szCs w:val="44"/>
          <w:highlight w:val="none"/>
        </w:rPr>
        <w:t>告</w:t>
      </w:r>
    </w:p>
    <w:p w14:paraId="4EDABD8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2025年1月4日</w:t>
      </w:r>
      <w:r>
        <w:rPr>
          <w:rFonts w:hint="eastAsia" w:ascii="楷体_GB2312" w:hAnsi="楷体_GB2312" w:eastAsia="楷体_GB2312" w:cs="楷体_GB2312"/>
          <w:sz w:val="32"/>
          <w:szCs w:val="32"/>
          <w:highlight w:val="none"/>
        </w:rPr>
        <w:t>在宝山区</w:t>
      </w:r>
      <w:r>
        <w:rPr>
          <w:rFonts w:hint="eastAsia" w:ascii="楷体_GB2312" w:hAnsi="楷体_GB2312" w:eastAsia="楷体_GB2312" w:cs="楷体_GB2312"/>
          <w:sz w:val="32"/>
          <w:szCs w:val="32"/>
          <w:highlight w:val="none"/>
          <w:lang w:val="en-US" w:eastAsia="zh-CN"/>
        </w:rPr>
        <w:t>第十一届人民代表大会</w:t>
      </w:r>
    </w:p>
    <w:p w14:paraId="667E8F6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val="en-US" w:eastAsia="zh-CN"/>
        </w:rPr>
        <w:t>第四次会议上</w:t>
      </w:r>
      <w:bookmarkStart w:id="0" w:name="_GoBack"/>
      <w:bookmarkEnd w:id="0"/>
    </w:p>
    <w:p w14:paraId="1BDE6C3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宝山区人民政府区长</w:t>
      </w:r>
      <w:r>
        <w:rPr>
          <w:rFonts w:hint="eastAsia" w:ascii="楷体_GB2312" w:hAnsi="楷体_GB2312" w:eastAsia="楷体_GB2312" w:cs="楷体_GB2312"/>
          <w:sz w:val="32"/>
          <w:szCs w:val="32"/>
          <w:highlight w:val="none"/>
          <w:lang w:val="en-US" w:eastAsia="zh-CN"/>
        </w:rPr>
        <w:t xml:space="preserve"> 刘志军</w:t>
      </w:r>
    </w:p>
    <w:p w14:paraId="2F88963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highlight w:val="none"/>
        </w:rPr>
      </w:pPr>
    </w:p>
    <w:p w14:paraId="626F43B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各位</w:t>
      </w:r>
      <w:r>
        <w:rPr>
          <w:rFonts w:hint="eastAsia" w:ascii="仿宋_GB2312" w:hAnsi="仿宋_GB2312" w:eastAsia="仿宋_GB2312" w:cs="仿宋_GB2312"/>
          <w:sz w:val="32"/>
          <w:szCs w:val="32"/>
          <w:highlight w:val="none"/>
          <w:lang w:val="en-US" w:eastAsia="zh-CN"/>
        </w:rPr>
        <w:t>代表</w:t>
      </w:r>
      <w:r>
        <w:rPr>
          <w:rFonts w:hint="eastAsia" w:ascii="仿宋_GB2312" w:hAnsi="仿宋_GB2312" w:eastAsia="仿宋_GB2312" w:cs="仿宋_GB2312"/>
          <w:sz w:val="32"/>
          <w:szCs w:val="32"/>
          <w:highlight w:val="none"/>
        </w:rPr>
        <w:t>：</w:t>
      </w:r>
    </w:p>
    <w:p w14:paraId="2117CE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现在，我代表区人民政府向大会报告</w:t>
      </w:r>
      <w:r>
        <w:rPr>
          <w:rFonts w:hint="eastAsia" w:ascii="仿宋_GB2312" w:hAnsi="仿宋_GB2312" w:eastAsia="仿宋_GB2312" w:cs="仿宋_GB2312"/>
          <w:sz w:val="32"/>
          <w:szCs w:val="32"/>
          <w:highlight w:val="none"/>
          <w:lang w:val="en-US" w:eastAsia="zh-CN"/>
        </w:rPr>
        <w:t>政府</w:t>
      </w:r>
      <w:r>
        <w:rPr>
          <w:rFonts w:hint="eastAsia" w:ascii="仿宋_GB2312" w:hAnsi="仿宋_GB2312" w:eastAsia="仿宋_GB2312" w:cs="仿宋_GB2312"/>
          <w:sz w:val="32"/>
          <w:szCs w:val="32"/>
          <w:highlight w:val="none"/>
        </w:rPr>
        <w:t>工作，请予审议</w:t>
      </w:r>
      <w:r>
        <w:rPr>
          <w:rFonts w:hint="eastAsia" w:ascii="仿宋_GB2312" w:hAnsi="仿宋_GB2312" w:eastAsia="仿宋_GB2312" w:cs="仿宋_GB2312"/>
          <w:sz w:val="32"/>
          <w:szCs w:val="32"/>
          <w:highlight w:val="none"/>
          <w:lang w:eastAsia="zh-CN"/>
        </w:rPr>
        <w:t>。</w:t>
      </w:r>
    </w:p>
    <w:p w14:paraId="4561F1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一、2024年工作回顾</w:t>
      </w:r>
    </w:p>
    <w:p w14:paraId="54FB5992">
      <w:pPr>
        <w:pStyle w:val="2"/>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left="0" w:firstLine="640" w:firstLineChars="200"/>
        <w:jc w:val="both"/>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过去的一年</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面对严峻复杂的经济形势</w:t>
      </w:r>
      <w:r>
        <w:rPr>
          <w:rFonts w:hint="default" w:ascii="Times New Roman" w:hAnsi="Times New Roman" w:eastAsia="仿宋_GB2312" w:cs="Times New Roman"/>
          <w:sz w:val="32"/>
          <w:szCs w:val="32"/>
          <w:highlight w:val="none"/>
          <w:lang w:val="en-US" w:eastAsia="zh-CN"/>
        </w:rPr>
        <w:t>和煤企长期停产的巨大压力</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在区委的坚强领导下，承压前行，克难奋进，全力推动经济运行平稳向好、民生事业有效改善、社会大局和谐稳定，为全面建设社会主义现代化幸福宝山打下了坚实基础。</w:t>
      </w:r>
      <w:r>
        <w:rPr>
          <w:rFonts w:hint="default" w:ascii="Times New Roman" w:hAnsi="Times New Roman" w:eastAsia="仿宋_GB2312" w:cs="Times New Roman"/>
          <w:b w:val="0"/>
          <w:i w:val="0"/>
          <w:caps w:val="0"/>
          <w:spacing w:val="6"/>
          <w:w w:val="100"/>
          <w:sz w:val="32"/>
          <w:szCs w:val="32"/>
          <w:highlight w:val="none"/>
          <w:lang w:val="en-US" w:eastAsia="zh-CN"/>
        </w:rPr>
        <w:t>预计</w:t>
      </w:r>
      <w:r>
        <w:rPr>
          <w:rFonts w:hint="default" w:ascii="Times New Roman" w:hAnsi="Times New Roman" w:eastAsia="仿宋_GB2312" w:cs="Times New Roman"/>
          <w:spacing w:val="6"/>
          <w:sz w:val="32"/>
          <w:szCs w:val="32"/>
          <w:highlight w:val="none"/>
          <w:lang w:val="en-US" w:eastAsia="zh-CN"/>
        </w:rPr>
        <w:t>实现</w:t>
      </w:r>
      <w:r>
        <w:rPr>
          <w:rFonts w:hint="default" w:ascii="Times New Roman" w:hAnsi="Times New Roman" w:eastAsia="仿宋_GB2312" w:cs="Times New Roman"/>
          <w:b w:val="0"/>
          <w:i w:val="0"/>
          <w:caps w:val="0"/>
          <w:spacing w:val="6"/>
          <w:w w:val="100"/>
          <w:sz w:val="32"/>
          <w:szCs w:val="32"/>
          <w:highlight w:val="none"/>
          <w:lang w:val="en-US" w:eastAsia="zh-CN"/>
        </w:rPr>
        <w:t>地区生产总值下降5%；农林牧渔业总产值增长4.5%；规模以上工业增加值下降60%；社会消费品零售总额增长3.5%；固定资产投资增长10%；实际利用省外资金增长50%；一般公共预算收入下降17%；外贸进出口总额增长81%；城乡居民人均可支配收入分别增长6%、4%。</w:t>
      </w:r>
    </w:p>
    <w:p w14:paraId="5AAE137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楷体_GB2312" w:cs="Times New Roman"/>
          <w:b/>
          <w:bCs/>
          <w:sz w:val="32"/>
          <w:szCs w:val="32"/>
          <w:highlight w:val="none"/>
          <w:lang w:eastAsia="zh-CN"/>
        </w:rPr>
        <w:t>全力以赴抓招商上项目，经济续航能力不断增强。</w:t>
      </w:r>
      <w:r>
        <w:rPr>
          <w:rFonts w:hint="default" w:ascii="Times New Roman" w:hAnsi="Times New Roman" w:eastAsia="仿宋_GB2312" w:cs="Times New Roman"/>
          <w:sz w:val="32"/>
          <w:szCs w:val="32"/>
          <w:highlight w:val="none"/>
          <w:lang w:val="en-US" w:eastAsia="zh-CN"/>
        </w:rPr>
        <w:t>全年开复工省级重点产业项目3个，开复工500万元以上产业项目10个。围绕“三新园区”不断加大招商力度，成功引入项目9个，签约额达28.08亿元，10万吨天然石墨负极材料、预焙烧、玉米挂面等项目相继成功签约、落地建设。隆兴、发展煤矿顺利复工复产，隆中煤矿建设项目竣工并正式生产，大民煤矿建设项目进入联合试运转，三合顺、汇源、龙发煤矿资源整合项目顺利推进。激发企业经营活力，批零和餐饮对地区生产总值拉动明显。加大促销宣传力度，开展各类促销活动10场，激发消费需求。协助企业搭建跨境电商平台，电商产业园交易额增长12%。酿清谷旅游风景区通过国家AAA级旅游景区复核，实现市场化运营。</w:t>
      </w:r>
    </w:p>
    <w:p w14:paraId="565C941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楷体_GB2312" w:cs="Times New Roman"/>
          <w:b/>
          <w:bCs/>
          <w:sz w:val="32"/>
          <w:szCs w:val="32"/>
          <w:highlight w:val="none"/>
          <w:lang w:val="en-US" w:eastAsia="zh-CN"/>
        </w:rPr>
        <w:t>多措并举抓增收谋振兴，农业农村工作稳步开展。</w:t>
      </w:r>
      <w:r>
        <w:rPr>
          <w:rFonts w:hint="default" w:ascii="Times New Roman" w:hAnsi="Times New Roman" w:eastAsia="仿宋_GB2312" w:cs="Times New Roman"/>
          <w:sz w:val="32"/>
          <w:szCs w:val="32"/>
          <w:highlight w:val="none"/>
          <w:lang w:val="en-US" w:eastAsia="zh-CN"/>
        </w:rPr>
        <w:t>坚决扛起粮食安全政治责任，粮食种植面积46.15万亩，</w:t>
      </w:r>
      <w:r>
        <w:rPr>
          <w:rFonts w:hint="default" w:ascii="Times New Roman" w:hAnsi="Times New Roman" w:eastAsia="仿宋_GB2312" w:cs="Times New Roman"/>
          <w:b w:val="0"/>
          <w:bCs/>
          <w:color w:val="000000"/>
          <w:spacing w:val="0"/>
          <w:kern w:val="0"/>
          <w:sz w:val="32"/>
          <w:szCs w:val="32"/>
          <w:highlight w:val="none"/>
          <w:lang w:val="en-US" w:eastAsia="zh-CN"/>
        </w:rPr>
        <w:t>粮食总产量比上年略有增加。</w:t>
      </w:r>
      <w:r>
        <w:rPr>
          <w:rFonts w:hint="default" w:ascii="Times New Roman" w:hAnsi="Times New Roman" w:eastAsia="仿宋_GB2312" w:cs="Times New Roman"/>
          <w:sz w:val="32"/>
          <w:szCs w:val="32"/>
          <w:highlight w:val="none"/>
          <w:lang w:val="en-US" w:eastAsia="zh-CN"/>
        </w:rPr>
        <w:t>畜牧龙头带动小规模养殖户战略成效显著，生猪存栏约</w:t>
      </w:r>
      <w:r>
        <w:rPr>
          <w:rFonts w:hint="default" w:ascii="Times New Roman" w:hAnsi="Times New Roman" w:eastAsia="仿宋_GB2312" w:cs="Times New Roman"/>
          <w:color w:val="auto"/>
          <w:sz w:val="32"/>
          <w:szCs w:val="32"/>
          <w:highlight w:val="none"/>
          <w:lang w:val="en-US" w:eastAsia="zh-CN"/>
        </w:rPr>
        <w:t>45000</w:t>
      </w:r>
      <w:r>
        <w:rPr>
          <w:rFonts w:hint="default" w:ascii="Times New Roman" w:hAnsi="Times New Roman" w:eastAsia="仿宋_GB2312" w:cs="Times New Roman"/>
          <w:sz w:val="32"/>
          <w:szCs w:val="32"/>
          <w:highlight w:val="none"/>
          <w:lang w:val="en-US" w:eastAsia="zh-CN"/>
        </w:rPr>
        <w:t>头，肉牛存栏</w:t>
      </w:r>
      <w:r>
        <w:rPr>
          <w:rFonts w:hint="default" w:ascii="Times New Roman" w:hAnsi="Times New Roman" w:eastAsia="仿宋_GB2312" w:cs="Times New Roman"/>
          <w:color w:val="auto"/>
          <w:sz w:val="32"/>
          <w:szCs w:val="32"/>
          <w:highlight w:val="none"/>
          <w:lang w:val="en-US" w:eastAsia="zh-CN"/>
        </w:rPr>
        <w:t>3900</w:t>
      </w:r>
      <w:r>
        <w:rPr>
          <w:rFonts w:hint="default" w:ascii="Times New Roman" w:hAnsi="Times New Roman" w:eastAsia="仿宋_GB2312" w:cs="Times New Roman"/>
          <w:sz w:val="32"/>
          <w:szCs w:val="32"/>
          <w:highlight w:val="none"/>
          <w:lang w:val="en-US" w:eastAsia="zh-CN"/>
        </w:rPr>
        <w:t>头，羊存栏</w:t>
      </w:r>
      <w:r>
        <w:rPr>
          <w:rFonts w:hint="default" w:ascii="Times New Roman" w:hAnsi="Times New Roman" w:eastAsia="仿宋_GB2312" w:cs="Times New Roman"/>
          <w:color w:val="auto"/>
          <w:sz w:val="32"/>
          <w:szCs w:val="32"/>
          <w:highlight w:val="none"/>
          <w:lang w:val="en-US" w:eastAsia="zh-CN"/>
        </w:rPr>
        <w:t>5000</w:t>
      </w:r>
      <w:r>
        <w:rPr>
          <w:rFonts w:hint="default" w:ascii="Times New Roman" w:hAnsi="Times New Roman" w:eastAsia="仿宋_GB2312" w:cs="Times New Roman"/>
          <w:sz w:val="32"/>
          <w:szCs w:val="32"/>
          <w:highlight w:val="none"/>
          <w:lang w:val="en-US" w:eastAsia="zh-CN"/>
        </w:rPr>
        <w:t>只，出栏分别增长</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sz w:val="32"/>
          <w:szCs w:val="32"/>
          <w:highlight w:val="none"/>
          <w:lang w:val="en-US" w:eastAsia="zh-CN"/>
        </w:rPr>
        <w:t>%；禽类存栏</w:t>
      </w:r>
      <w:r>
        <w:rPr>
          <w:rFonts w:hint="default" w:ascii="Times New Roman" w:hAnsi="Times New Roman" w:eastAsia="仿宋_GB2312" w:cs="Times New Roman"/>
          <w:color w:val="auto"/>
          <w:sz w:val="32"/>
          <w:szCs w:val="32"/>
          <w:highlight w:val="none"/>
          <w:lang w:val="en-US" w:eastAsia="zh-CN"/>
        </w:rPr>
        <w:t>23</w:t>
      </w:r>
      <w:r>
        <w:rPr>
          <w:rFonts w:hint="default" w:ascii="Times New Roman" w:hAnsi="Times New Roman" w:eastAsia="仿宋_GB2312" w:cs="Times New Roman"/>
          <w:sz w:val="32"/>
          <w:szCs w:val="32"/>
          <w:highlight w:val="none"/>
          <w:lang w:val="en-US" w:eastAsia="zh-CN"/>
        </w:rPr>
        <w:t>万羽，增长</w:t>
      </w:r>
      <w:r>
        <w:rPr>
          <w:rFonts w:hint="default"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sz w:val="32"/>
          <w:szCs w:val="32"/>
          <w:highlight w:val="none"/>
          <w:lang w:val="en-US" w:eastAsia="zh-CN"/>
        </w:rPr>
        <w:t>%，翔霖牧业获评国家级生猪产能调控基地。建设标准化果蔬大棚</w:t>
      </w:r>
      <w:r>
        <w:rPr>
          <w:rFonts w:hint="default" w:ascii="Times New Roman" w:hAnsi="Times New Roman" w:eastAsia="仿宋_GB2312" w:cs="Times New Roman"/>
          <w:color w:val="auto"/>
          <w:sz w:val="32"/>
          <w:szCs w:val="32"/>
          <w:highlight w:val="none"/>
          <w:lang w:val="en-US" w:eastAsia="zh-CN"/>
        </w:rPr>
        <w:t>8</w:t>
      </w:r>
      <w:r>
        <w:rPr>
          <w:rFonts w:hint="default" w:ascii="Times New Roman" w:hAnsi="Times New Roman" w:eastAsia="仿宋_GB2312" w:cs="Times New Roman"/>
          <w:sz w:val="32"/>
          <w:szCs w:val="32"/>
          <w:highlight w:val="none"/>
          <w:lang w:val="en-US" w:eastAsia="zh-CN"/>
        </w:rPr>
        <w:t>栋，实现收入</w:t>
      </w:r>
      <w:r>
        <w:rPr>
          <w:rFonts w:hint="default" w:ascii="Times New Roman" w:hAnsi="Times New Roman" w:eastAsia="仿宋_GB2312" w:cs="Times New Roman"/>
          <w:color w:val="auto"/>
          <w:sz w:val="32"/>
          <w:szCs w:val="32"/>
          <w:highlight w:val="none"/>
          <w:lang w:val="en-US" w:eastAsia="zh-CN"/>
        </w:rPr>
        <w:t>24</w:t>
      </w:r>
      <w:r>
        <w:rPr>
          <w:rFonts w:hint="default" w:ascii="Times New Roman" w:hAnsi="Times New Roman" w:eastAsia="仿宋_GB2312" w:cs="Times New Roman"/>
          <w:sz w:val="32"/>
          <w:szCs w:val="32"/>
          <w:highlight w:val="none"/>
          <w:lang w:val="en-US" w:eastAsia="zh-CN"/>
        </w:rPr>
        <w:t>万元。华新村、杨木岗村、上游村水毁桥等5座桥梁全部建成并投入使用，宝山村、杨木岗村村内道路硬化项目全部竣工，前进村、杨木岗村、华新村、上游村安全饮水管网改造完工，七星镇供水管网和上游村农田路改造项目开工建设，农村环境更加宜居。持续做好脱贫攻坚与乡村振兴有效衔接，争取资金1638万元，实施项目11个，富民增收更有保障。</w:t>
      </w:r>
    </w:p>
    <w:p w14:paraId="1CC395B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楷体_GB2312" w:cs="Times New Roman"/>
          <w:b/>
          <w:bCs/>
          <w:sz w:val="32"/>
          <w:szCs w:val="32"/>
          <w:highlight w:val="none"/>
          <w:lang w:val="en-US" w:eastAsia="zh-CN"/>
        </w:rPr>
        <w:t>用情用力抓民生增福祉，群众幸福指数持续提升。</w:t>
      </w:r>
      <w:r>
        <w:rPr>
          <w:rFonts w:hint="default" w:ascii="Times New Roman" w:hAnsi="Times New Roman" w:eastAsia="仿宋_GB2312" w:cs="Times New Roman"/>
          <w:sz w:val="32"/>
          <w:szCs w:val="32"/>
          <w:highlight w:val="none"/>
          <w:lang w:val="en-US" w:eastAsia="zh-CN"/>
        </w:rPr>
        <w:t>聚焦民生热点难点，回应群众关心关切，民生支出占全年财政支出的84%。加强基础设施建设。实施2024年排水管网升级改造项目。林下经济路、各矿区污水处理厂、城镇二次供水设施改造、雨污分流改造工程项目全部建成并投入使用。完成主城区电子警察抓拍、交通标志等设备设施维修更换。完善主城区北入口绿化景观工程1.1万平方米。维修3个矿区93栋居民楼破损漏雨屋面，受益群众达300余户。对各独立工矿区供热锅炉、换热站、水厂、水源干线等设施进行维修改造，七星街道广场升级改造项目完成主体建设，新增健身路径、健身场地11套，全覆盖各社区和村屯，人均体育场地面积达到2.48平方米，人民群众生活保障更加有力。</w:t>
      </w:r>
      <w:r>
        <w:rPr>
          <w:rFonts w:hint="default" w:ascii="Times New Roman" w:hAnsi="Times New Roman" w:eastAsia="仿宋_GB2312" w:cs="Times New Roman"/>
          <w:color w:val="auto"/>
          <w:spacing w:val="6"/>
          <w:sz w:val="32"/>
          <w:szCs w:val="32"/>
          <w:highlight w:val="none"/>
          <w:u w:val="none"/>
          <w:lang w:val="en-US" w:eastAsia="zh-CN"/>
        </w:rPr>
        <w:t>深化教育领域改革，完成育英、育丰和宝山村小学等6所学校整合。</w:t>
      </w:r>
      <w:r>
        <w:rPr>
          <w:rFonts w:hint="default" w:ascii="Times New Roman" w:hAnsi="Times New Roman" w:eastAsia="仿宋_GB2312" w:cs="Times New Roman"/>
          <w:sz w:val="32"/>
          <w:szCs w:val="32"/>
          <w:highlight w:val="none"/>
          <w:lang w:val="en-US" w:eastAsia="zh-CN"/>
        </w:rPr>
        <w:t>健全多元复合式医保支付体系，在全市首推“VPDN”医保无线服务，打造群众家门口的医保服务站。邀请北京三甲医院知名专家到区人民医院开展义诊，服务辖区群众</w:t>
      </w:r>
      <w:r>
        <w:rPr>
          <w:rFonts w:hint="default" w:ascii="Times New Roman" w:hAnsi="Times New Roman" w:eastAsia="仿宋_GB2312" w:cs="Times New Roman"/>
          <w:color w:val="auto"/>
          <w:sz w:val="32"/>
          <w:szCs w:val="32"/>
          <w:highlight w:val="none"/>
          <w:lang w:val="en-US" w:eastAsia="zh-CN"/>
        </w:rPr>
        <w:t>626</w:t>
      </w:r>
      <w:r>
        <w:rPr>
          <w:rFonts w:hint="default" w:ascii="Times New Roman" w:hAnsi="Times New Roman" w:eastAsia="仿宋_GB2312" w:cs="Times New Roman"/>
          <w:sz w:val="32"/>
          <w:szCs w:val="32"/>
          <w:highlight w:val="none"/>
          <w:lang w:val="en-US" w:eastAsia="zh-CN"/>
        </w:rPr>
        <w:t>人次，受益</w:t>
      </w:r>
      <w:r>
        <w:rPr>
          <w:rFonts w:hint="default" w:ascii="Times New Roman" w:hAnsi="Times New Roman" w:eastAsia="仿宋_GB2312" w:cs="Times New Roman"/>
          <w:color w:val="auto"/>
          <w:sz w:val="32"/>
          <w:szCs w:val="32"/>
          <w:highlight w:val="none"/>
          <w:lang w:val="en-US" w:eastAsia="zh-CN"/>
        </w:rPr>
        <w:t>438</w:t>
      </w:r>
      <w:r>
        <w:rPr>
          <w:rFonts w:hint="default" w:ascii="Times New Roman" w:hAnsi="Times New Roman" w:eastAsia="仿宋_GB2312" w:cs="Times New Roman"/>
          <w:sz w:val="32"/>
          <w:szCs w:val="32"/>
          <w:highlight w:val="none"/>
          <w:lang w:val="en-US" w:eastAsia="zh-CN"/>
        </w:rPr>
        <w:t>人次。创新开展尘肺“康复达人”评选工作，在国家健康报作为典型经验报道。市急救中心宝山分站启动运营，极大缩短患者抢救时间。生育支持政策有效落实。打造全市社区辅助养老示范典型</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sz w:val="32"/>
          <w:szCs w:val="32"/>
          <w:highlight w:val="none"/>
          <w:lang w:val="en-US" w:eastAsia="zh-CN"/>
        </w:rPr>
        <w:t>个，“新速度、心服务”基层治理品牌1个，受益群众</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sz w:val="32"/>
          <w:szCs w:val="32"/>
          <w:highlight w:val="none"/>
          <w:lang w:val="en-US" w:eastAsia="zh-CN"/>
        </w:rPr>
        <w:t>万余人次。新增就业</w:t>
      </w:r>
      <w:r>
        <w:rPr>
          <w:rFonts w:hint="default" w:ascii="Times New Roman" w:hAnsi="Times New Roman" w:eastAsia="仿宋_GB2312" w:cs="Times New Roman"/>
          <w:color w:val="auto"/>
          <w:sz w:val="32"/>
          <w:szCs w:val="32"/>
          <w:highlight w:val="none"/>
          <w:lang w:val="en-US" w:eastAsia="zh-CN"/>
        </w:rPr>
        <w:t>2257</w:t>
      </w:r>
      <w:r>
        <w:rPr>
          <w:rFonts w:hint="default" w:ascii="Times New Roman" w:hAnsi="Times New Roman" w:eastAsia="仿宋_GB2312" w:cs="Times New Roman"/>
          <w:sz w:val="32"/>
          <w:szCs w:val="32"/>
          <w:highlight w:val="none"/>
          <w:lang w:val="en-US" w:eastAsia="zh-CN"/>
        </w:rPr>
        <w:t>人，失业人员再就业</w:t>
      </w:r>
      <w:r>
        <w:rPr>
          <w:rFonts w:hint="default" w:ascii="Times New Roman" w:hAnsi="Times New Roman" w:eastAsia="仿宋_GB2312" w:cs="Times New Roman"/>
          <w:color w:val="auto"/>
          <w:sz w:val="32"/>
          <w:szCs w:val="32"/>
          <w:highlight w:val="none"/>
          <w:lang w:val="en-US" w:eastAsia="zh-CN"/>
        </w:rPr>
        <w:t>3247</w:t>
      </w:r>
      <w:r>
        <w:rPr>
          <w:rFonts w:hint="default" w:ascii="Times New Roman" w:hAnsi="Times New Roman" w:eastAsia="仿宋_GB2312" w:cs="Times New Roman"/>
          <w:sz w:val="32"/>
          <w:szCs w:val="32"/>
          <w:highlight w:val="none"/>
          <w:lang w:val="en-US" w:eastAsia="zh-CN"/>
        </w:rPr>
        <w:t>人，就业困难人员就业</w:t>
      </w:r>
      <w:r>
        <w:rPr>
          <w:rFonts w:hint="default" w:ascii="Times New Roman" w:hAnsi="Times New Roman" w:eastAsia="仿宋_GB2312" w:cs="Times New Roman"/>
          <w:color w:val="auto"/>
          <w:sz w:val="32"/>
          <w:szCs w:val="32"/>
          <w:highlight w:val="none"/>
          <w:lang w:val="en-US" w:eastAsia="zh-CN"/>
        </w:rPr>
        <w:t>1030</w:t>
      </w:r>
      <w:r>
        <w:rPr>
          <w:rFonts w:hint="default" w:ascii="Times New Roman" w:hAnsi="Times New Roman" w:eastAsia="仿宋_GB2312" w:cs="Times New Roman"/>
          <w:sz w:val="32"/>
          <w:szCs w:val="32"/>
          <w:highlight w:val="none"/>
          <w:lang w:val="en-US" w:eastAsia="zh-CN"/>
        </w:rPr>
        <w:t>人。</w:t>
      </w:r>
    </w:p>
    <w:p w14:paraId="202B1ED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pacing w:val="6"/>
          <w:sz w:val="32"/>
          <w:szCs w:val="32"/>
          <w:highlight w:val="none"/>
          <w:u w:val="none"/>
          <w:lang w:val="en-US" w:eastAsia="zh-CN"/>
        </w:rPr>
      </w:pPr>
      <w:r>
        <w:rPr>
          <w:rFonts w:hint="default" w:ascii="Times New Roman" w:hAnsi="Times New Roman" w:eastAsia="楷体_GB2312" w:cs="Times New Roman"/>
          <w:b/>
          <w:bCs/>
          <w:sz w:val="32"/>
          <w:szCs w:val="32"/>
          <w:highlight w:val="none"/>
          <w:lang w:val="en-US" w:eastAsia="zh-CN"/>
        </w:rPr>
        <w:t>守正创新抓改革优环境，发展内生动力不断积蓄。</w:t>
      </w:r>
      <w:r>
        <w:rPr>
          <w:rFonts w:hint="default" w:ascii="Times New Roman" w:hAnsi="Times New Roman" w:eastAsia="仿宋_GB2312" w:cs="Times New Roman"/>
          <w:color w:val="auto"/>
          <w:spacing w:val="6"/>
          <w:sz w:val="32"/>
          <w:szCs w:val="32"/>
          <w:highlight w:val="none"/>
          <w:u w:val="none"/>
          <w:lang w:val="en-US" w:eastAsia="zh-CN"/>
        </w:rPr>
        <w:t>坚持发展出题目、改革做文章，全力推进经济、农业、科教等8个领域、26个方面重点改革任务。深入实施国有企业改革深化提升行动，争取国能双鸭山宝山光伏复合发电项目场地平整中央预算内资金900万元。区本级696项政务服务事项全部进驻大厅，网办率100%，零跑动率97.08%，承诺压缩时限比率91.68%。持续推进社会信用体系建设，“双公示”及时率与合格率均为100%。打造新安“四所一庭一中心”试点，各类纠纷调解成功率100%。在新安办事处打造了首个“15分钟人社便民服务圈”，基层服务能力和效率进一步提升。推出“五色一彩”服务队、“六微”工作法、“五心”党建等基层实践创新，基层治理精细化服务水平全面提高。</w:t>
      </w:r>
    </w:p>
    <w:p w14:paraId="387160B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楷体_GB2312" w:cs="Times New Roman"/>
          <w:b/>
          <w:bCs/>
          <w:sz w:val="32"/>
          <w:szCs w:val="32"/>
          <w:highlight w:val="none"/>
          <w:lang w:val="en-US" w:eastAsia="zh-CN"/>
        </w:rPr>
        <w:t>持之以恒抓环保重治理，生态文明建设扎实推进。</w:t>
      </w:r>
      <w:r>
        <w:rPr>
          <w:rFonts w:hint="default" w:ascii="Times New Roman" w:hAnsi="Times New Roman" w:eastAsia="仿宋_GB2312" w:cs="Times New Roman"/>
          <w:sz w:val="32"/>
          <w:szCs w:val="32"/>
          <w:highlight w:val="none"/>
          <w:lang w:val="en-US" w:eastAsia="zh-CN"/>
        </w:rPr>
        <w:t>严格落实“生态总长制”。扎实加强执法监管效能，对入河排污口、畜禽污染进行联防联控，排放水质达到城镇污水处理设施污水排放标准。启动顺安煤矿等23处历史遗留矿山三年修复工作。深入推进煤矸石综合利用，有效利用存量煤矸石</w:t>
      </w:r>
      <w:r>
        <w:rPr>
          <w:rFonts w:hint="default" w:ascii="Times New Roman" w:hAnsi="Times New Roman" w:eastAsia="仿宋_GB2312" w:cs="Times New Roman"/>
          <w:color w:val="auto"/>
          <w:sz w:val="32"/>
          <w:szCs w:val="32"/>
          <w:highlight w:val="none"/>
          <w:lang w:val="en-US" w:eastAsia="zh-CN"/>
        </w:rPr>
        <w:t>3.6</w:t>
      </w:r>
      <w:r>
        <w:rPr>
          <w:rFonts w:hint="default" w:ascii="Times New Roman" w:hAnsi="Times New Roman" w:eastAsia="仿宋_GB2312" w:cs="Times New Roman"/>
          <w:sz w:val="32"/>
          <w:szCs w:val="32"/>
          <w:highlight w:val="none"/>
          <w:lang w:val="en-US" w:eastAsia="zh-CN"/>
        </w:rPr>
        <w:t>万吨。持续开展“冬病夏治”“亮剑护绿”等大气污染专项行动，完成双鸭山农场1台20蒸吨锅炉淘汰工作。高质量推进秸秆禁烧和综合利用，全年未发生重污染天气，空气优良率</w:t>
      </w:r>
      <w:r>
        <w:rPr>
          <w:rFonts w:hint="default" w:ascii="Times New Roman" w:hAnsi="Times New Roman" w:eastAsia="仿宋_GB2312" w:cs="Times New Roman"/>
          <w:color w:val="auto"/>
          <w:sz w:val="32"/>
          <w:szCs w:val="32"/>
          <w:highlight w:val="none"/>
          <w:lang w:val="en-US" w:eastAsia="zh-CN"/>
        </w:rPr>
        <w:t>98.3</w:t>
      </w:r>
      <w:r>
        <w:rPr>
          <w:rFonts w:hint="default" w:ascii="Times New Roman" w:hAnsi="Times New Roman" w:eastAsia="仿宋_GB2312" w:cs="Times New Roman"/>
          <w:sz w:val="32"/>
          <w:szCs w:val="32"/>
          <w:highlight w:val="none"/>
          <w:lang w:val="en-US" w:eastAsia="zh-CN"/>
        </w:rPr>
        <w:t>%。第二轮中央生态环保督察年度整改任务全部完成。</w:t>
      </w:r>
    </w:p>
    <w:p w14:paraId="78D4C47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楷体_GB2312" w:cs="Times New Roman"/>
          <w:b/>
          <w:bCs/>
          <w:sz w:val="32"/>
          <w:szCs w:val="32"/>
          <w:highlight w:val="none"/>
          <w:lang w:val="en-US" w:eastAsia="zh-CN"/>
        </w:rPr>
        <w:t>精准高效抓安全防风险，社会大局保持和谐稳定。</w:t>
      </w:r>
      <w:r>
        <w:rPr>
          <w:rFonts w:hint="default" w:ascii="Times New Roman" w:hAnsi="Times New Roman" w:eastAsia="仿宋_GB2312" w:cs="Times New Roman"/>
          <w:sz w:val="32"/>
          <w:szCs w:val="32"/>
          <w:highlight w:val="none"/>
          <w:lang w:val="en-US" w:eastAsia="zh-CN"/>
        </w:rPr>
        <w:t>牢固树立“以人为本、生命至上”工作理念，聚焦矿山、道路交通、建筑施工、火灾防控、危化品及城镇燃气等重点行业领域，持续开展安全隐患排查整治，推动重大隐患动态“清零”。进一步压实企业主体责任和部门监管责任，开展“治本攻坚三年行动”等各类安全生产专项整治行动14次。持续保持打非治违高压态势，辖区生产建设煤矿超层越界、私增工作面等非法、违法行为得到根本整治。持续加强食品生产、流通、餐饮服务环节监管，食品安全问题得到了根本解决，有效遏制各类事故发生。进一步规范信访秩序，落实属地属事责任，群策群力，抓早抓小控增量，攻坚克难减存量，网上投诉率下降</w:t>
      </w:r>
      <w:r>
        <w:rPr>
          <w:rFonts w:hint="default" w:ascii="Times New Roman" w:hAnsi="Times New Roman" w:eastAsia="仿宋_GB2312" w:cs="Times New Roman"/>
          <w:color w:val="auto"/>
          <w:sz w:val="32"/>
          <w:szCs w:val="32"/>
          <w:highlight w:val="none"/>
          <w:lang w:val="en-US" w:eastAsia="zh-CN"/>
        </w:rPr>
        <w:t>57</w:t>
      </w:r>
      <w:r>
        <w:rPr>
          <w:rFonts w:hint="default" w:ascii="Times New Roman" w:hAnsi="Times New Roman" w:eastAsia="仿宋_GB2312" w:cs="Times New Roman"/>
          <w:sz w:val="32"/>
          <w:szCs w:val="32"/>
          <w:highlight w:val="none"/>
          <w:lang w:val="en-US" w:eastAsia="zh-CN"/>
        </w:rPr>
        <w:t>%，越级信访事项下降52.6%，化解信访积案8件。全力打击治理电信网络诈骗犯罪，抓获涉诈犯罪嫌疑人</w:t>
      </w:r>
      <w:r>
        <w:rPr>
          <w:rFonts w:hint="default" w:ascii="Times New Roman" w:hAnsi="Times New Roman" w:eastAsia="仿宋_GB2312" w:cs="Times New Roman"/>
          <w:color w:val="auto"/>
          <w:sz w:val="32"/>
          <w:szCs w:val="32"/>
          <w:highlight w:val="none"/>
          <w:lang w:val="en-US" w:eastAsia="zh-CN"/>
        </w:rPr>
        <w:t>38</w:t>
      </w:r>
      <w:r>
        <w:rPr>
          <w:rFonts w:hint="default" w:ascii="Times New Roman" w:hAnsi="Times New Roman" w:eastAsia="仿宋_GB2312" w:cs="Times New Roman"/>
          <w:sz w:val="32"/>
          <w:szCs w:val="32"/>
          <w:highlight w:val="none"/>
          <w:lang w:val="en-US" w:eastAsia="zh-CN"/>
        </w:rPr>
        <w:t>人，破获电诈现案</w:t>
      </w:r>
      <w:r>
        <w:rPr>
          <w:rFonts w:hint="default" w:ascii="Times New Roman" w:hAnsi="Times New Roman" w:eastAsia="仿宋_GB2312" w:cs="Times New Roman"/>
          <w:color w:val="auto"/>
          <w:sz w:val="32"/>
          <w:szCs w:val="32"/>
          <w:highlight w:val="none"/>
          <w:lang w:val="en-US" w:eastAsia="zh-CN"/>
        </w:rPr>
        <w:t>11</w:t>
      </w:r>
      <w:r>
        <w:rPr>
          <w:rFonts w:hint="default" w:ascii="Times New Roman" w:hAnsi="Times New Roman" w:eastAsia="仿宋_GB2312" w:cs="Times New Roman"/>
          <w:sz w:val="32"/>
          <w:szCs w:val="32"/>
          <w:highlight w:val="none"/>
          <w:lang w:val="en-US" w:eastAsia="zh-CN"/>
        </w:rPr>
        <w:t>起，为群众挽回经济损失</w:t>
      </w:r>
      <w:r>
        <w:rPr>
          <w:rFonts w:hint="default" w:ascii="Times New Roman" w:hAnsi="Times New Roman" w:eastAsia="仿宋_GB2312" w:cs="Times New Roman"/>
          <w:color w:val="auto"/>
          <w:sz w:val="32"/>
          <w:szCs w:val="32"/>
          <w:highlight w:val="none"/>
          <w:lang w:val="en-US" w:eastAsia="zh-CN"/>
        </w:rPr>
        <w:t>13</w:t>
      </w:r>
      <w:r>
        <w:rPr>
          <w:rFonts w:hint="default" w:ascii="Times New Roman" w:hAnsi="Times New Roman" w:eastAsia="仿宋_GB2312" w:cs="Times New Roman"/>
          <w:sz w:val="32"/>
          <w:szCs w:val="32"/>
          <w:highlight w:val="none"/>
          <w:lang w:val="en-US" w:eastAsia="zh-CN"/>
        </w:rPr>
        <w:t>万元。持续开展涉枪涉爆违法犯罪专项打击，收缴报废雷管</w:t>
      </w:r>
      <w:r>
        <w:rPr>
          <w:rFonts w:hint="default"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sz w:val="32"/>
          <w:szCs w:val="32"/>
          <w:highlight w:val="none"/>
          <w:lang w:val="en-US" w:eastAsia="zh-CN"/>
        </w:rPr>
        <w:t>万余枚、各类子弹</w:t>
      </w:r>
      <w:r>
        <w:rPr>
          <w:rFonts w:hint="default" w:ascii="Times New Roman" w:hAnsi="Times New Roman" w:eastAsia="仿宋_GB2312" w:cs="Times New Roman"/>
          <w:color w:val="auto"/>
          <w:sz w:val="32"/>
          <w:szCs w:val="32"/>
          <w:highlight w:val="none"/>
          <w:lang w:val="en-US" w:eastAsia="zh-CN"/>
        </w:rPr>
        <w:t>364</w:t>
      </w:r>
      <w:r>
        <w:rPr>
          <w:rFonts w:hint="default" w:ascii="Times New Roman" w:hAnsi="Times New Roman" w:eastAsia="仿宋_GB2312" w:cs="Times New Roman"/>
          <w:sz w:val="32"/>
          <w:szCs w:val="32"/>
          <w:highlight w:val="none"/>
          <w:lang w:val="en-US" w:eastAsia="zh-CN"/>
        </w:rPr>
        <w:t>发。</w:t>
      </w:r>
    </w:p>
    <w:p w14:paraId="1BFBD89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楷体_GB2312" w:cs="Times New Roman"/>
          <w:b/>
          <w:bCs/>
          <w:sz w:val="32"/>
          <w:szCs w:val="32"/>
          <w:highlight w:val="none"/>
          <w:lang w:val="en-US" w:eastAsia="zh-CN"/>
        </w:rPr>
        <w:t>从严从实抓作风提效能，政府自身建设全面加强。</w:t>
      </w:r>
      <w:r>
        <w:rPr>
          <w:rFonts w:hint="default" w:ascii="Times New Roman" w:hAnsi="Times New Roman" w:eastAsia="仿宋_GB2312" w:cs="Times New Roman"/>
          <w:sz w:val="32"/>
          <w:szCs w:val="32"/>
          <w:highlight w:val="none"/>
          <w:lang w:val="en-US" w:eastAsia="zh-CN"/>
        </w:rPr>
        <w:t>推进服务政府建设，深入践行“我为群众办实事”，解决人才就业、乡村建设等37项群众急难愁盼民生实事。全面落实领导包联企业机制，协调解决企业发展难题42个。推进法治政府建设，完善政府法律顾问制度，会前学法成为常态。持续推进政务公开，自觉接受人大依法监督和政协民主监督，各级人大代表建议、政协委员提案办复满意率达100%。推进勤廉政府建设，推动党纪学习教育走深走实，大力倡导扎扎实实、踏踏实实、求真务实优良作风，集中整治群众身边不正之风和腐败问题，坚决贯彻落实中央八项规定精神，严格执行各项纪律规矩。认真贯彻落实党风廉政建设责任制，严格履行“一岗双责”，全面加强重点部门、重点领域、重点项目的资金审计监管，坚持政府过“紧日子”，财政资金实现提质增效。</w:t>
      </w:r>
    </w:p>
    <w:p w14:paraId="589224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在民族宗教、国防动员、外事侨务、妇女儿童、扶弱助残、防灾减灾、审计、统计、双拥、慈善、金融等方面也取得了长足的发展和进步。</w:t>
      </w:r>
    </w:p>
    <w:p w14:paraId="13749A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各位</w:t>
      </w:r>
      <w:r>
        <w:rPr>
          <w:rFonts w:hint="eastAsia" w:ascii="Times New Roman" w:hAnsi="Times New Roman" w:eastAsia="仿宋_GB2312" w:cs="Times New Roman"/>
          <w:sz w:val="32"/>
          <w:szCs w:val="32"/>
          <w:highlight w:val="none"/>
          <w:lang w:val="en-US" w:eastAsia="zh-CN"/>
        </w:rPr>
        <w:t>代表</w:t>
      </w:r>
      <w:r>
        <w:rPr>
          <w:rFonts w:hint="default" w:ascii="Times New Roman" w:hAnsi="Times New Roman" w:eastAsia="仿宋_GB2312" w:cs="Times New Roman"/>
          <w:sz w:val="32"/>
          <w:szCs w:val="32"/>
          <w:highlight w:val="none"/>
          <w:lang w:val="en-US" w:eastAsia="zh-CN"/>
        </w:rPr>
        <w:t>，过去一年，我们共同经历了非常之时、非常之难，面临的挑战前所未有，付出的努力有目共睹，取得的成绩实属来之不易。一切成绩的取得离不开市委、市政府和区委的正确领导，科学决策；离不开区人大、区政协的高效监督，鼎力支持；离不开全区上下的披荆斩棘，团结奋斗。在此，我代表区人民政府，</w:t>
      </w:r>
      <w:r>
        <w:rPr>
          <w:rFonts w:hint="default" w:ascii="Times New Roman" w:hAnsi="Times New Roman" w:eastAsia="仿宋_GB2312" w:cs="Times New Roman"/>
          <w:sz w:val="32"/>
          <w:szCs w:val="32"/>
          <w:highlight w:val="none"/>
        </w:rPr>
        <w:t>向在各自岗位上辛勤工作、倾情奉献的全</w:t>
      </w:r>
      <w:r>
        <w:rPr>
          <w:rFonts w:hint="default" w:ascii="Times New Roman" w:hAnsi="Times New Roman" w:eastAsia="仿宋_GB2312" w:cs="Times New Roman"/>
          <w:sz w:val="32"/>
          <w:szCs w:val="32"/>
          <w:highlight w:val="none"/>
          <w:lang w:val="en-US" w:eastAsia="zh-CN"/>
        </w:rPr>
        <w:t>区</w:t>
      </w:r>
      <w:r>
        <w:rPr>
          <w:rFonts w:hint="default" w:ascii="Times New Roman" w:hAnsi="Times New Roman" w:eastAsia="仿宋_GB2312" w:cs="Times New Roman"/>
          <w:sz w:val="32"/>
          <w:szCs w:val="32"/>
          <w:highlight w:val="none"/>
        </w:rPr>
        <w:t>广大干部职工和人民群众，致以崇高的敬意！向长期关心、支持和帮助</w:t>
      </w:r>
      <w:r>
        <w:rPr>
          <w:rFonts w:hint="default" w:ascii="Times New Roman" w:hAnsi="Times New Roman" w:eastAsia="仿宋_GB2312" w:cs="Times New Roman"/>
          <w:sz w:val="32"/>
          <w:szCs w:val="32"/>
          <w:highlight w:val="none"/>
          <w:lang w:val="en-US" w:eastAsia="zh-CN"/>
        </w:rPr>
        <w:t>宝山</w:t>
      </w:r>
      <w:r>
        <w:rPr>
          <w:rFonts w:hint="default" w:ascii="Times New Roman" w:hAnsi="Times New Roman" w:eastAsia="仿宋_GB2312" w:cs="Times New Roman"/>
          <w:sz w:val="32"/>
          <w:szCs w:val="32"/>
          <w:highlight w:val="none"/>
        </w:rPr>
        <w:t>发展的社会各界人士，致以衷心的感谢！</w:t>
      </w:r>
    </w:p>
    <w:p w14:paraId="0DE842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在总结成绩的同时，我们也清醒地认识到，全区经济社会发展还面临不少困难和挑战。</w:t>
      </w:r>
      <w:r>
        <w:rPr>
          <w:rFonts w:hint="default" w:ascii="Times New Roman" w:hAnsi="Times New Roman" w:eastAsia="仿宋_GB2312" w:cs="Times New Roman"/>
          <w:b/>
          <w:bCs/>
          <w:sz w:val="32"/>
          <w:szCs w:val="32"/>
          <w:highlight w:val="none"/>
          <w:lang w:val="en-US" w:eastAsia="zh-CN"/>
        </w:rPr>
        <w:t>一是</w:t>
      </w:r>
      <w:r>
        <w:rPr>
          <w:rFonts w:hint="default" w:ascii="Times New Roman" w:hAnsi="Times New Roman" w:eastAsia="仿宋_GB2312" w:cs="Times New Roman"/>
          <w:b w:val="0"/>
          <w:bCs w:val="0"/>
          <w:sz w:val="32"/>
          <w:szCs w:val="32"/>
          <w:highlight w:val="none"/>
          <w:lang w:val="en-US" w:eastAsia="zh-CN"/>
        </w:rPr>
        <w:t>经济</w:t>
      </w:r>
      <w:r>
        <w:rPr>
          <w:rFonts w:hint="default" w:ascii="Times New Roman" w:hAnsi="Times New Roman" w:eastAsia="仿宋_GB2312" w:cs="Times New Roman"/>
          <w:sz w:val="32"/>
          <w:szCs w:val="32"/>
          <w:highlight w:val="none"/>
          <w:lang w:val="en-US" w:eastAsia="zh-CN"/>
        </w:rPr>
        <w:t>发展态势有待加强，民间投资后劲不足，消费恢复提振偏慢，年初确定的部分工作任务尚未达到预期。</w:t>
      </w:r>
      <w:r>
        <w:rPr>
          <w:rFonts w:hint="default" w:ascii="Times New Roman" w:hAnsi="Times New Roman" w:eastAsia="仿宋_GB2312" w:cs="Times New Roman"/>
          <w:b/>
          <w:bCs/>
          <w:sz w:val="32"/>
          <w:szCs w:val="32"/>
          <w:highlight w:val="none"/>
          <w:lang w:val="en-US" w:eastAsia="zh-CN"/>
        </w:rPr>
        <w:t>二是</w:t>
      </w:r>
      <w:r>
        <w:rPr>
          <w:rFonts w:hint="default" w:ascii="Times New Roman" w:hAnsi="Times New Roman" w:eastAsia="仿宋_GB2312" w:cs="Times New Roman"/>
          <w:sz w:val="32"/>
          <w:szCs w:val="32"/>
          <w:highlight w:val="none"/>
          <w:lang w:val="en-US" w:eastAsia="zh-CN"/>
        </w:rPr>
        <w:t>传统煤炭企业产能没有得到充分释放，新兴石墨材料产业尚未投产，区域经济活力不足。</w:t>
      </w:r>
      <w:r>
        <w:rPr>
          <w:rFonts w:hint="default" w:ascii="Times New Roman" w:hAnsi="Times New Roman" w:eastAsia="仿宋_GB2312" w:cs="Times New Roman"/>
          <w:b/>
          <w:bCs/>
          <w:sz w:val="32"/>
          <w:szCs w:val="32"/>
          <w:highlight w:val="none"/>
          <w:lang w:val="en-US" w:eastAsia="zh-CN"/>
        </w:rPr>
        <w:t>三是</w:t>
      </w:r>
      <w:r>
        <w:rPr>
          <w:rFonts w:hint="default" w:ascii="Times New Roman" w:hAnsi="Times New Roman" w:eastAsia="仿宋_GB2312" w:cs="Times New Roman"/>
          <w:sz w:val="32"/>
          <w:szCs w:val="32"/>
          <w:highlight w:val="none"/>
          <w:lang w:val="en-US" w:eastAsia="zh-CN"/>
        </w:rPr>
        <w:t>教育、医疗、养老、托育等民生重点领域仍有短板，不能很好满足人民美好生活需要。</w:t>
      </w:r>
      <w:r>
        <w:rPr>
          <w:rFonts w:hint="default" w:ascii="Times New Roman" w:hAnsi="Times New Roman" w:eastAsia="仿宋_GB2312" w:cs="Times New Roman"/>
          <w:b/>
          <w:bCs/>
          <w:sz w:val="32"/>
          <w:szCs w:val="32"/>
          <w:highlight w:val="none"/>
          <w:lang w:val="en-US" w:eastAsia="zh-CN"/>
        </w:rPr>
        <w:t>四是</w:t>
      </w:r>
      <w:r>
        <w:rPr>
          <w:rFonts w:hint="default" w:ascii="Times New Roman" w:hAnsi="Times New Roman" w:eastAsia="仿宋_GB2312" w:cs="Times New Roman"/>
          <w:sz w:val="32"/>
          <w:szCs w:val="32"/>
          <w:highlight w:val="none"/>
          <w:lang w:val="en-US" w:eastAsia="zh-CN"/>
        </w:rPr>
        <w:t>营商环境还需优化，政府系统抓落实、强执行的作风有待进一步改进。对此，我们一定高度重视，采取有效措施，认真加以解决。</w:t>
      </w:r>
    </w:p>
    <w:p w14:paraId="53E7EB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二、2025年工作安排</w:t>
      </w:r>
    </w:p>
    <w:p w14:paraId="064B34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2025年是实施“十四五”规划的收官之年，也是宝山区恢复经济活力，把握发展机遇的关键之年。我们要更好的统筹发展所需、城市所能、群众所盼和未来所向，抓住一切有利时机，利用一切有利条件，以特色增质效，以创新求突破，努力实现经济社会又好又快发展。</w:t>
      </w:r>
    </w:p>
    <w:p w14:paraId="7D2733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今年政府工作总体思路是：</w:t>
      </w:r>
      <w:r>
        <w:rPr>
          <w:rFonts w:hint="default" w:ascii="Times New Roman" w:hAnsi="Times New Roman" w:eastAsia="仿宋_GB2312" w:cs="Times New Roman"/>
          <w:sz w:val="32"/>
          <w:szCs w:val="32"/>
          <w:highlight w:val="none"/>
          <w:lang w:val="en-US" w:eastAsia="zh-CN"/>
        </w:rPr>
        <w:t>坚持以习近平新时代中国特色社会主义思想为指导，深入贯彻落实习近平总书记视察黑龙江期间的重要讲话重要指示精神，全面落实中央、省市区委工作部署要求，坚持稳中求进、以进促稳、先立后破，完整准确全面贯彻新发展理念，积极服务和融入构建新发展格局，坚持把推进中国式现代化作为最大的政治，坚决维护国家“五大安全”，以着力推动转型高质量发展为主题，以实现“三个转变”为目标，以培育壮大“六大主导产业”为重点，以“六个四”实施路径为抓手，统筹全方位扩大内需和深化供给侧结构性改革，统筹新型城镇化和乡村振兴，统筹高质量发展和高水平安全，构建具有宝山特色的现代化产业体系，进一步全面深化改革扩大开放，全力优化营商环境，持续保障和改善民生，保持社会和谐稳定，开启全面建设社会主义现代化幸福宝山新征程！</w:t>
      </w:r>
    </w:p>
    <w:p w14:paraId="4B913F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ascii="黑体" w:hAnsi="黑体" w:eastAsia="黑体" w:cs="黑体"/>
          <w:sz w:val="32"/>
          <w:szCs w:val="32"/>
          <w:highlight w:val="none"/>
          <w:lang w:val="en-US" w:eastAsia="zh-CN"/>
        </w:rPr>
        <w:t>2025年预期目标：</w:t>
      </w:r>
      <w:r>
        <w:rPr>
          <w:rFonts w:hint="default" w:ascii="Times New Roman" w:hAnsi="Times New Roman" w:eastAsia="仿宋_GB2312" w:cs="Times New Roman"/>
          <w:sz w:val="32"/>
          <w:szCs w:val="32"/>
          <w:highlight w:val="none"/>
          <w:lang w:val="en-US" w:eastAsia="zh-CN"/>
        </w:rPr>
        <w:t>地区生产总值增长</w:t>
      </w:r>
      <w:r>
        <w:rPr>
          <w:rFonts w:hint="default" w:ascii="Times New Roman" w:hAnsi="Times New Roman" w:eastAsia="仿宋_GB2312" w:cs="Times New Roman"/>
          <w:color w:val="auto"/>
          <w:sz w:val="32"/>
          <w:szCs w:val="32"/>
          <w:highlight w:val="none"/>
          <w:lang w:val="en-US" w:eastAsia="zh-CN"/>
        </w:rPr>
        <w:t>8</w:t>
      </w:r>
      <w:r>
        <w:rPr>
          <w:rFonts w:hint="default" w:ascii="Times New Roman" w:hAnsi="Times New Roman" w:eastAsia="仿宋_GB2312" w:cs="Times New Roman"/>
          <w:sz w:val="32"/>
          <w:szCs w:val="32"/>
          <w:highlight w:val="none"/>
          <w:lang w:val="en-US" w:eastAsia="zh-CN"/>
        </w:rPr>
        <w:t>%，农林牧渔总产值增长</w:t>
      </w:r>
      <w:r>
        <w:rPr>
          <w:rFonts w:hint="default" w:ascii="Times New Roman" w:hAnsi="Times New Roman" w:eastAsia="仿宋_GB2312" w:cs="Times New Roman"/>
          <w:color w:val="auto"/>
          <w:sz w:val="32"/>
          <w:szCs w:val="32"/>
          <w:highlight w:val="none"/>
          <w:lang w:val="en-US" w:eastAsia="zh-CN"/>
        </w:rPr>
        <w:t>4.5</w:t>
      </w:r>
      <w:r>
        <w:rPr>
          <w:rFonts w:hint="default" w:ascii="Times New Roman" w:hAnsi="Times New Roman" w:eastAsia="仿宋_GB2312" w:cs="Times New Roman"/>
          <w:sz w:val="32"/>
          <w:szCs w:val="32"/>
          <w:highlight w:val="none"/>
          <w:lang w:val="en-US" w:eastAsia="zh-CN"/>
        </w:rPr>
        <w:t>%，规模以上工业增加值增长</w:t>
      </w:r>
      <w:r>
        <w:rPr>
          <w:rFonts w:hint="default" w:ascii="Times New Roman" w:hAnsi="Times New Roman" w:eastAsia="仿宋_GB2312" w:cs="Times New Roman"/>
          <w:color w:val="auto"/>
          <w:sz w:val="32"/>
          <w:szCs w:val="32"/>
          <w:highlight w:val="none"/>
          <w:lang w:val="en-US" w:eastAsia="zh-CN"/>
        </w:rPr>
        <w:t>80</w:t>
      </w:r>
      <w:r>
        <w:rPr>
          <w:rFonts w:hint="default" w:ascii="Times New Roman" w:hAnsi="Times New Roman" w:eastAsia="仿宋_GB2312" w:cs="Times New Roman"/>
          <w:sz w:val="32"/>
          <w:szCs w:val="32"/>
          <w:highlight w:val="none"/>
          <w:lang w:val="en-US" w:eastAsia="zh-CN"/>
        </w:rPr>
        <w:t>%，社会消费品零售总额增长</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sz w:val="32"/>
          <w:szCs w:val="32"/>
          <w:highlight w:val="none"/>
          <w:lang w:val="en-US" w:eastAsia="zh-CN"/>
        </w:rPr>
        <w:t>%，固定资产投资增长</w:t>
      </w:r>
      <w:r>
        <w:rPr>
          <w:rFonts w:hint="default"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sz w:val="32"/>
          <w:szCs w:val="32"/>
          <w:highlight w:val="none"/>
          <w:lang w:val="en-US" w:eastAsia="zh-CN"/>
        </w:rPr>
        <w:t>%，外贸进出口总值增长</w:t>
      </w:r>
      <w:r>
        <w:rPr>
          <w:rFonts w:hint="default" w:ascii="Times New Roman" w:hAnsi="Times New Roman" w:eastAsia="仿宋_GB2312" w:cs="Times New Roman"/>
          <w:color w:val="auto"/>
          <w:sz w:val="32"/>
          <w:szCs w:val="32"/>
          <w:highlight w:val="none"/>
          <w:lang w:val="en-US" w:eastAsia="zh-CN"/>
        </w:rPr>
        <w:t>50</w:t>
      </w:r>
      <w:r>
        <w:rPr>
          <w:rFonts w:hint="default" w:ascii="Times New Roman" w:hAnsi="Times New Roman" w:eastAsia="仿宋_GB2312" w:cs="Times New Roman"/>
          <w:sz w:val="32"/>
          <w:szCs w:val="32"/>
          <w:highlight w:val="none"/>
          <w:lang w:val="en-US" w:eastAsia="zh-CN"/>
        </w:rPr>
        <w:t>%，财政一般预算收入增长</w:t>
      </w:r>
      <w:r>
        <w:rPr>
          <w:rFonts w:hint="default" w:ascii="Times New Roman" w:hAnsi="Times New Roman" w:eastAsia="仿宋_GB2312" w:cs="Times New Roman"/>
          <w:color w:val="auto"/>
          <w:sz w:val="32"/>
          <w:szCs w:val="32"/>
          <w:highlight w:val="none"/>
          <w:lang w:val="en-US" w:eastAsia="zh-CN"/>
        </w:rPr>
        <w:t>44</w:t>
      </w:r>
      <w:r>
        <w:rPr>
          <w:rFonts w:hint="default" w:ascii="Times New Roman" w:hAnsi="Times New Roman" w:eastAsia="仿宋_GB2312" w:cs="Times New Roman"/>
          <w:sz w:val="32"/>
          <w:szCs w:val="32"/>
          <w:highlight w:val="none"/>
          <w:lang w:val="en-US" w:eastAsia="zh-CN"/>
        </w:rPr>
        <w:t>%，城乡居民人均可支配收入增长与经济增长基本同步。</w:t>
      </w:r>
    </w:p>
    <w:p w14:paraId="3D556B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为实现上述目标，我们将全力以赴做好以下几方面工作：</w:t>
      </w:r>
    </w:p>
    <w:p w14:paraId="441F36F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楷体_GB2312" w:cs="Times New Roman"/>
          <w:b/>
          <w:bCs/>
          <w:sz w:val="32"/>
          <w:szCs w:val="32"/>
          <w:highlight w:val="none"/>
          <w:lang w:val="en-US" w:eastAsia="zh-CN"/>
        </w:rPr>
        <w:t>（一）持续强化项目招引</w:t>
      </w:r>
      <w:r>
        <w:rPr>
          <w:rFonts w:hint="default" w:ascii="Times New Roman" w:hAnsi="Times New Roman" w:eastAsia="楷体_GB2312" w:cs="Times New Roman"/>
          <w:b/>
          <w:bCs/>
          <w:sz w:val="32"/>
          <w:szCs w:val="32"/>
          <w:highlight w:val="none"/>
          <w:lang w:eastAsia="zh-CN"/>
        </w:rPr>
        <w:t>，在增强发展活力上有新</w:t>
      </w:r>
      <w:r>
        <w:rPr>
          <w:rFonts w:hint="default" w:ascii="Times New Roman" w:hAnsi="Times New Roman" w:eastAsia="楷体_GB2312" w:cs="Times New Roman"/>
          <w:b/>
          <w:bCs/>
          <w:sz w:val="32"/>
          <w:szCs w:val="32"/>
          <w:highlight w:val="none"/>
          <w:lang w:val="en-US" w:eastAsia="zh-CN"/>
        </w:rPr>
        <w:t>突破</w:t>
      </w:r>
      <w:r>
        <w:rPr>
          <w:rFonts w:hint="default" w:ascii="Times New Roman" w:hAnsi="Times New Roman" w:eastAsia="楷体_GB2312" w:cs="Times New Roman"/>
          <w:b/>
          <w:bCs/>
          <w:sz w:val="32"/>
          <w:szCs w:val="32"/>
          <w:highlight w:val="none"/>
          <w:lang w:eastAsia="zh-CN"/>
        </w:rPr>
        <w:t>。</w:t>
      </w:r>
      <w:r>
        <w:rPr>
          <w:rFonts w:hint="default" w:ascii="Times New Roman" w:hAnsi="Times New Roman" w:eastAsia="仿宋_GB2312" w:cs="Times New Roman"/>
          <w:sz w:val="32"/>
          <w:szCs w:val="32"/>
          <w:highlight w:val="none"/>
          <w:lang w:val="en-US" w:eastAsia="zh-CN"/>
        </w:rPr>
        <w:t>坚持“项目为王”不动摇，加强项目谋划和协调服务，狠抓招商引资，强力推进重点项目开工建设、投产见效。</w:t>
      </w:r>
      <w:r>
        <w:rPr>
          <w:rFonts w:hint="default" w:ascii="Times New Roman" w:hAnsi="Times New Roman" w:eastAsia="仿宋_GB2312" w:cs="Times New Roman"/>
          <w:b/>
          <w:bCs/>
          <w:sz w:val="32"/>
          <w:szCs w:val="32"/>
          <w:highlight w:val="none"/>
          <w:lang w:val="en-US" w:eastAsia="zh-CN"/>
        </w:rPr>
        <w:t>加快招商引资步伐。</w:t>
      </w:r>
      <w:r>
        <w:rPr>
          <w:rFonts w:hint="default" w:ascii="Times New Roman" w:hAnsi="Times New Roman" w:eastAsia="仿宋_GB2312" w:cs="Times New Roman"/>
          <w:sz w:val="32"/>
          <w:szCs w:val="32"/>
          <w:highlight w:val="none"/>
          <w:lang w:val="en-US" w:eastAsia="zh-CN"/>
        </w:rPr>
        <w:t>坚持领导带头抓招商，借助中介招商、委托招商等市场化服务，</w:t>
      </w:r>
      <w:r>
        <w:rPr>
          <w:rFonts w:hint="default" w:ascii="Times New Roman" w:hAnsi="Times New Roman" w:eastAsia="仿宋_GB2312" w:cs="Times New Roman"/>
          <w:sz w:val="32"/>
          <w:szCs w:val="32"/>
          <w:highlight w:val="none"/>
        </w:rPr>
        <w:t>加强</w:t>
      </w:r>
      <w:r>
        <w:rPr>
          <w:rFonts w:hint="default" w:ascii="Times New Roman" w:hAnsi="Times New Roman" w:eastAsia="仿宋_GB2312" w:cs="Times New Roman"/>
          <w:sz w:val="32"/>
          <w:szCs w:val="32"/>
          <w:highlight w:val="none"/>
          <w:lang w:val="en-US" w:eastAsia="zh-CN"/>
        </w:rPr>
        <w:t>对外</w:t>
      </w:r>
      <w:r>
        <w:rPr>
          <w:rFonts w:hint="default" w:ascii="Times New Roman" w:hAnsi="Times New Roman" w:eastAsia="仿宋_GB2312" w:cs="Times New Roman"/>
          <w:sz w:val="32"/>
          <w:szCs w:val="32"/>
          <w:highlight w:val="none"/>
        </w:rPr>
        <w:t>联系，促进项目落地。</w:t>
      </w:r>
      <w:r>
        <w:rPr>
          <w:rFonts w:hint="default" w:ascii="Times New Roman" w:hAnsi="Times New Roman" w:eastAsia="仿宋_GB2312" w:cs="Times New Roman"/>
          <w:sz w:val="32"/>
          <w:szCs w:val="32"/>
          <w:highlight w:val="none"/>
          <w:lang w:val="en-US" w:eastAsia="zh-CN"/>
        </w:rPr>
        <w:t>支持本地企业借助哈洽会、中俄博览会、进口博览会等大型经贸活动，寻找合作伙伴，</w:t>
      </w:r>
      <w:r>
        <w:rPr>
          <w:rFonts w:hint="default" w:ascii="Times New Roman" w:hAnsi="Times New Roman" w:eastAsia="仿宋_GB2312" w:cs="Times New Roman"/>
          <w:sz w:val="32"/>
          <w:szCs w:val="32"/>
          <w:highlight w:val="none"/>
        </w:rPr>
        <w:t>鼓励本土企业家外引内联，发掘商机、吸引投资。</w:t>
      </w:r>
      <w:r>
        <w:rPr>
          <w:rFonts w:hint="default" w:ascii="Times New Roman" w:hAnsi="Times New Roman" w:eastAsia="仿宋_GB2312" w:cs="Times New Roman"/>
          <w:sz w:val="32"/>
          <w:szCs w:val="32"/>
          <w:highlight w:val="none"/>
          <w:lang w:val="en-US" w:eastAsia="zh-CN"/>
        </w:rPr>
        <w:t>聘请专业团队完善“三单一书”，研究适应新发展模式的招商政策，组建专业招商分队，广泛收集招商线索，以“三新产业园”为载体，以新材料、新食品、新能源为主攻方向，利用龙粤合作、“双佛”合作契机，主动对接京津冀协同发展、长江经济带等国家区域重大战略，力争全年招商引资重点产业项目5个以上，到位资金15亿元以上。</w:t>
      </w:r>
      <w:r>
        <w:rPr>
          <w:rFonts w:hint="default" w:ascii="Times New Roman" w:hAnsi="Times New Roman" w:eastAsia="仿宋_GB2312" w:cs="Times New Roman"/>
          <w:b/>
          <w:bCs/>
          <w:sz w:val="32"/>
          <w:szCs w:val="32"/>
          <w:highlight w:val="none"/>
        </w:rPr>
        <w:t>抓好产业项目建设。</w:t>
      </w:r>
      <w:r>
        <w:rPr>
          <w:rFonts w:hint="default" w:ascii="Times New Roman" w:hAnsi="Times New Roman" w:eastAsia="仿宋_GB2312" w:cs="Times New Roman"/>
          <w:sz w:val="32"/>
          <w:szCs w:val="32"/>
          <w:highlight w:val="none"/>
          <w:lang w:val="en-US" w:eastAsia="zh-CN"/>
        </w:rPr>
        <w:t>开展项目建设提速攻坚行动，全年储备重点产业项目15个以上，开复工省重点项目3个，开工建设投资500万元以上产业项目超额完成市定目标。充分发挥领导干部在服务项目建设中的表率作用，</w:t>
      </w:r>
      <w:r>
        <w:rPr>
          <w:rFonts w:hint="default" w:ascii="Times New Roman" w:hAnsi="Times New Roman" w:eastAsia="仿宋_GB2312" w:cs="Times New Roman"/>
          <w:sz w:val="32"/>
          <w:szCs w:val="32"/>
          <w:highlight w:val="none"/>
        </w:rPr>
        <w:t>靠前服务、上门服务、主动服务，强化项目保障，</w:t>
      </w:r>
      <w:r>
        <w:rPr>
          <w:rFonts w:hint="default" w:ascii="Times New Roman" w:hAnsi="Times New Roman" w:eastAsia="仿宋_GB2312" w:cs="Times New Roman"/>
          <w:sz w:val="32"/>
          <w:szCs w:val="32"/>
          <w:highlight w:val="none"/>
          <w:lang w:val="en-US" w:eastAsia="zh-CN"/>
        </w:rPr>
        <w:t>推动光伏复合发电、大设备更新等项目竣工投产。</w:t>
      </w:r>
      <w:r>
        <w:rPr>
          <w:rFonts w:hint="default" w:ascii="Times New Roman" w:hAnsi="Times New Roman" w:eastAsia="仿宋_GB2312" w:cs="Times New Roman"/>
          <w:b/>
          <w:bCs/>
          <w:sz w:val="32"/>
          <w:szCs w:val="32"/>
          <w:highlight w:val="none"/>
          <w:lang w:val="en-US" w:eastAsia="zh-CN"/>
        </w:rPr>
        <w:t>加强区域协作。</w:t>
      </w:r>
      <w:r>
        <w:rPr>
          <w:rFonts w:hint="default" w:ascii="Times New Roman" w:hAnsi="Times New Roman" w:eastAsia="仿宋_GB2312" w:cs="Times New Roman"/>
          <w:sz w:val="32"/>
          <w:szCs w:val="32"/>
          <w:highlight w:val="none"/>
          <w:lang w:val="en-US" w:eastAsia="zh-CN"/>
        </w:rPr>
        <w:t>持续加强</w:t>
      </w:r>
      <w:r>
        <w:rPr>
          <w:rFonts w:hint="default" w:ascii="Times New Roman" w:hAnsi="Times New Roman" w:eastAsia="仿宋_GB2312" w:cs="Times New Roman"/>
          <w:sz w:val="32"/>
          <w:szCs w:val="32"/>
          <w:highlight w:val="none"/>
        </w:rPr>
        <w:t>区矿、区</w:t>
      </w:r>
      <w:r>
        <w:rPr>
          <w:rFonts w:hint="default" w:ascii="Times New Roman" w:hAnsi="Times New Roman" w:eastAsia="仿宋_GB2312" w:cs="Times New Roman"/>
          <w:sz w:val="32"/>
          <w:szCs w:val="32"/>
          <w:highlight w:val="none"/>
          <w:lang w:val="en-US" w:eastAsia="zh-CN"/>
        </w:rPr>
        <w:t>场</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厂</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、区林在经济发展、社会治理、民生改善、辅业拓展、环境治理、资源利用等方面的协作力度。</w:t>
      </w:r>
      <w:r>
        <w:rPr>
          <w:rFonts w:hint="default" w:ascii="Times New Roman" w:hAnsi="Times New Roman" w:eastAsia="仿宋_GB2312" w:cs="Times New Roman"/>
          <w:sz w:val="32"/>
          <w:szCs w:val="32"/>
          <w:highlight w:val="none"/>
          <w:lang w:val="en-US" w:eastAsia="zh-CN"/>
        </w:rPr>
        <w:t>充分利用煤炭、土地、电力等资源，在新能源、新材料等产业项目上再拓展，产业链条再延长。发挥现有充足棚室资源，积极对外招商引资，力争落地一批蔬菜种植、禽类养殖项目。</w:t>
      </w:r>
      <w:r>
        <w:rPr>
          <w:rFonts w:hint="default" w:ascii="Times New Roman" w:hAnsi="Times New Roman" w:eastAsia="仿宋_GB2312" w:cs="Times New Roman"/>
          <w:b/>
          <w:bCs/>
          <w:sz w:val="32"/>
          <w:szCs w:val="32"/>
          <w:highlight w:val="none"/>
          <w:lang w:val="en-US" w:eastAsia="zh-CN"/>
        </w:rPr>
        <w:t>积极争取政策支持。</w:t>
      </w:r>
      <w:r>
        <w:rPr>
          <w:rFonts w:hint="default" w:ascii="Times New Roman" w:hAnsi="Times New Roman" w:eastAsia="仿宋_GB2312" w:cs="Times New Roman"/>
          <w:sz w:val="32"/>
          <w:szCs w:val="32"/>
          <w:highlight w:val="none"/>
          <w:lang w:val="en-US" w:eastAsia="zh-CN"/>
        </w:rPr>
        <w:t>抢抓资金、土地、能源、政策等各类要素资源，围绕城乡融合发展、设备更新、民生事业等重点领域，用足用好“两重”、地方政府专项债、一般债、超长期国债、中央预算内等国家稳投资、扩内需政策，谋划生成一批系统性、带动性项目。用足用好国家加力支持“两新”政策，推动全区工业、农业等领域设备更新以及汽车、家电等消费品以旧换新，促进产业升级，激发消费活力。</w:t>
      </w:r>
    </w:p>
    <w:p w14:paraId="552A3A4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楷体_GB2312" w:cs="Times New Roman"/>
          <w:b/>
          <w:bCs/>
          <w:sz w:val="32"/>
          <w:szCs w:val="32"/>
          <w:highlight w:val="none"/>
          <w:lang w:val="en-US" w:eastAsia="zh-CN"/>
        </w:rPr>
        <w:t>（二）加快推进产业升级</w:t>
      </w:r>
      <w:r>
        <w:rPr>
          <w:rFonts w:hint="default" w:ascii="Times New Roman" w:hAnsi="Times New Roman" w:eastAsia="楷体_GB2312" w:cs="Times New Roman"/>
          <w:b/>
          <w:bCs/>
          <w:sz w:val="32"/>
          <w:szCs w:val="32"/>
          <w:highlight w:val="none"/>
          <w:lang w:eastAsia="zh-CN"/>
        </w:rPr>
        <w:t>，在推动</w:t>
      </w:r>
      <w:r>
        <w:rPr>
          <w:rFonts w:hint="default" w:ascii="Times New Roman" w:hAnsi="Times New Roman" w:eastAsia="楷体_GB2312" w:cs="Times New Roman"/>
          <w:b/>
          <w:bCs/>
          <w:sz w:val="32"/>
          <w:szCs w:val="32"/>
          <w:highlight w:val="none"/>
          <w:lang w:val="en-US" w:eastAsia="zh-CN"/>
        </w:rPr>
        <w:t>经济</w:t>
      </w:r>
      <w:r>
        <w:rPr>
          <w:rFonts w:hint="default" w:ascii="Times New Roman" w:hAnsi="Times New Roman" w:eastAsia="楷体_GB2312" w:cs="Times New Roman"/>
          <w:b/>
          <w:bCs/>
          <w:sz w:val="32"/>
          <w:szCs w:val="32"/>
          <w:highlight w:val="none"/>
          <w:lang w:eastAsia="zh-CN"/>
        </w:rPr>
        <w:t>发展上有新</w:t>
      </w:r>
      <w:r>
        <w:rPr>
          <w:rFonts w:hint="default" w:ascii="Times New Roman" w:hAnsi="Times New Roman" w:eastAsia="楷体_GB2312" w:cs="Times New Roman"/>
          <w:b/>
          <w:bCs/>
          <w:sz w:val="32"/>
          <w:szCs w:val="32"/>
          <w:highlight w:val="none"/>
          <w:lang w:val="en-US" w:eastAsia="zh-CN"/>
        </w:rPr>
        <w:t>突破</w:t>
      </w:r>
      <w:r>
        <w:rPr>
          <w:rFonts w:hint="default" w:ascii="Times New Roman" w:hAnsi="Times New Roman" w:eastAsia="楷体_GB2312" w:cs="Times New Roman"/>
          <w:b/>
          <w:bCs/>
          <w:sz w:val="32"/>
          <w:szCs w:val="32"/>
          <w:highlight w:val="none"/>
          <w:lang w:eastAsia="zh-CN"/>
        </w:rPr>
        <w:t>。</w:t>
      </w:r>
      <w:r>
        <w:rPr>
          <w:rFonts w:hint="default" w:ascii="Times New Roman" w:hAnsi="Times New Roman" w:eastAsia="仿宋_GB2312" w:cs="Times New Roman"/>
          <w:b/>
          <w:bCs/>
          <w:sz w:val="32"/>
          <w:szCs w:val="32"/>
          <w:highlight w:val="none"/>
        </w:rPr>
        <w:t>加快发展现代农业。</w:t>
      </w:r>
      <w:r>
        <w:rPr>
          <w:rFonts w:hint="default" w:ascii="Times New Roman" w:hAnsi="Times New Roman" w:eastAsia="仿宋_GB2312" w:cs="Times New Roman"/>
          <w:sz w:val="32"/>
          <w:szCs w:val="32"/>
          <w:highlight w:val="none"/>
          <w:lang w:val="en-US" w:eastAsia="zh-CN"/>
        </w:rPr>
        <w:t>全面落实耕地保护和粮食安全责任制，确保粮食播种面积稳定在46万亩以上。统筹辖区耕地资源，引导鼓励农民种植毛豆，扩大大豆种植面积。深化特色农业发展，扩大棚室蔬菜和食用菌种植规模，引导山野菜加工厂增扩规模。发挥翔霖牧业、润晋肉牛规模养殖场的示范引领作用，强化服务，支持现有规模养殖场恢复生产，带动生猪、肉牛小规模养殖户扩大养殖规模。积极推进蛋鸡、鹅等禽类规模养殖场和散养户发展，谋划畜牧屠宰加工项目，深化畜牧产品生产加工能力，拓展产业链条，努力实现饲养、屠宰、存储、加工、销售一体化进程。在农技培训、土地托管等方面加强与农场合作，鼓励农民发展小菜园、散养禽类和渔业，促进农民增收。</w:t>
      </w:r>
      <w:r>
        <w:rPr>
          <w:rFonts w:hint="default" w:ascii="Times New Roman" w:hAnsi="Times New Roman" w:eastAsia="仿宋_GB2312" w:cs="Times New Roman"/>
          <w:b/>
          <w:bCs/>
          <w:sz w:val="32"/>
          <w:szCs w:val="32"/>
          <w:highlight w:val="none"/>
          <w:lang w:val="en-US" w:eastAsia="zh-CN"/>
        </w:rPr>
        <w:t>加快工业提质增效。</w:t>
      </w:r>
      <w:r>
        <w:rPr>
          <w:rFonts w:hint="default" w:ascii="Times New Roman" w:hAnsi="Times New Roman" w:eastAsia="仿宋_GB2312" w:cs="Times New Roman"/>
          <w:sz w:val="32"/>
          <w:szCs w:val="32"/>
          <w:highlight w:val="none"/>
          <w:lang w:val="en-US" w:eastAsia="zh-CN"/>
        </w:rPr>
        <w:t>强化煤炭支柱产业发展，多措并举推动亚泰煤业恢复生产，隆中、发展等煤矿充分释放产能。全力服务推动大民煤矿投产，推进汇源、三合顺、龙发煤矿建设项目高标准建设，推动龙山、林发煤矿复工建设。帮助隆中、广恒和鑫雨瀚等洗煤企业尽快复产，推动实现“产原煤、销精煤”的产业发展目标。</w:t>
      </w:r>
      <w:r>
        <w:rPr>
          <w:rFonts w:hint="default" w:ascii="Times New Roman" w:hAnsi="Times New Roman" w:eastAsia="仿宋_GB2312" w:cs="Times New Roman"/>
          <w:b/>
          <w:bCs/>
          <w:sz w:val="32"/>
          <w:szCs w:val="32"/>
          <w:highlight w:val="none"/>
          <w:lang w:val="en-US" w:eastAsia="zh-CN"/>
        </w:rPr>
        <w:t>强化新兴产业发展。</w:t>
      </w:r>
      <w:r>
        <w:rPr>
          <w:rFonts w:hint="default" w:ascii="Times New Roman" w:hAnsi="Times New Roman" w:eastAsia="仿宋_GB2312" w:cs="Times New Roman"/>
          <w:sz w:val="32"/>
          <w:szCs w:val="32"/>
          <w:highlight w:val="none"/>
          <w:lang w:val="en-US" w:eastAsia="zh-CN"/>
        </w:rPr>
        <w:t>全力支持8万千瓦光伏复合发电项目竣工并网发电，推进碳一10万吨天然石墨负极材料、5万吨人造负极材料项目竣工投产。强化临规临限企业培育，积极引导企业抓好生产销售，力争年内新增限上贸易企业1家，规上工业企业4家，为经济高质量、可持续发展注入强劲动力。支持双兴科技申报省级工业设计中心，</w:t>
      </w:r>
      <w:r>
        <w:rPr>
          <w:rFonts w:hint="default" w:ascii="Times New Roman" w:hAnsi="Times New Roman" w:eastAsia="仿宋_GB2312" w:cs="Times New Roman"/>
          <w:sz w:val="32"/>
          <w:szCs w:val="32"/>
          <w:highlight w:val="none"/>
        </w:rPr>
        <w:t>方直机械再制造公司申请高新技术企业</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加快数字经济、生物经济发展。以双兴科技为基础，</w:t>
      </w:r>
      <w:r>
        <w:rPr>
          <w:rFonts w:hint="default" w:ascii="Times New Roman" w:hAnsi="Times New Roman" w:eastAsia="仿宋_GB2312" w:cs="Times New Roman"/>
          <w:sz w:val="32"/>
          <w:szCs w:val="32"/>
          <w:highlight w:val="none"/>
        </w:rPr>
        <w:t>探索建立科技成果转化基地</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b/>
          <w:bCs/>
          <w:sz w:val="32"/>
          <w:szCs w:val="32"/>
          <w:highlight w:val="none"/>
          <w:lang w:val="en-US" w:eastAsia="zh-CN"/>
        </w:rPr>
        <w:t>助力旅游业发展。</w:t>
      </w:r>
      <w:r>
        <w:rPr>
          <w:rFonts w:hint="default" w:ascii="Times New Roman" w:hAnsi="Times New Roman" w:eastAsia="仿宋_GB2312" w:cs="Times New Roman"/>
          <w:sz w:val="32"/>
          <w:szCs w:val="32"/>
          <w:highlight w:val="none"/>
          <w:lang w:val="en-US" w:eastAsia="zh-CN"/>
        </w:rPr>
        <w:t>推动“旅游+互联网”模式，深入挖掘酿清谷旅游风景区、农场采摘园、大叶沟抗联密营地等旅游资源，开展多种形式的推广推介，打造旅游品牌，为景区引流，培育新的收入增长点。</w:t>
      </w:r>
      <w:r>
        <w:rPr>
          <w:rFonts w:hint="default" w:ascii="Times New Roman" w:hAnsi="Times New Roman" w:eastAsia="仿宋_GB2312" w:cs="Times New Roman"/>
          <w:b/>
          <w:bCs/>
          <w:sz w:val="32"/>
          <w:szCs w:val="32"/>
          <w:highlight w:val="none"/>
          <w:lang w:val="en-US" w:eastAsia="zh-CN"/>
        </w:rPr>
        <w:t>大力发展外贸产业。</w:t>
      </w:r>
      <w:r>
        <w:rPr>
          <w:rFonts w:hint="default" w:ascii="Times New Roman" w:hAnsi="Times New Roman" w:eastAsia="仿宋_GB2312" w:cs="Times New Roman"/>
          <w:sz w:val="32"/>
          <w:szCs w:val="32"/>
          <w:highlight w:val="none"/>
          <w:lang w:val="en-US" w:eastAsia="zh-CN"/>
        </w:rPr>
        <w:t>加大引进生产型外贸企业和加快培育外贸新业态。推动对俄贸易实现新突破。扩大俄煤进口规模，推动酒类、轻工等产品对俄销售。积极推进龙烨、嘉合等粮食贸易企业对外开展业务，实现粮食外贸进出口新突破。</w:t>
      </w:r>
      <w:r>
        <w:rPr>
          <w:rFonts w:hint="default" w:ascii="Times New Roman" w:hAnsi="Times New Roman" w:eastAsia="仿宋_GB2312" w:cs="Times New Roman"/>
          <w:b/>
          <w:bCs/>
          <w:sz w:val="32"/>
          <w:szCs w:val="32"/>
          <w:highlight w:val="none"/>
          <w:lang w:val="en-US" w:eastAsia="zh-CN"/>
        </w:rPr>
        <w:t>大力发展电子商务。</w:t>
      </w:r>
      <w:r>
        <w:rPr>
          <w:rFonts w:hint="default" w:ascii="Times New Roman" w:hAnsi="Times New Roman" w:eastAsia="仿宋_GB2312" w:cs="Times New Roman"/>
          <w:sz w:val="32"/>
          <w:szCs w:val="32"/>
          <w:highlight w:val="none"/>
          <w:lang w:val="en-US" w:eastAsia="zh-CN"/>
        </w:rPr>
        <w:t>积极宣传跨境电商支持政策，着力发展和完善跨境电子商务产业链，培育和引进一批竞争力强的跨境电子商务企业，做大外贸出口总量。加强电商产业园管理，完善直播基地软硬件设施，推动财鹿养殖、嘉原粮油等地方电商企业产品销往全国。同时，实施提振消费专项行动，继续开展各类节庆消费、商品展会等促销活动，多措并举激发消费活力。</w:t>
      </w:r>
    </w:p>
    <w:p w14:paraId="4115EBA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楷体_GB2312" w:cs="Times New Roman"/>
          <w:b/>
          <w:bCs/>
          <w:sz w:val="32"/>
          <w:szCs w:val="32"/>
          <w:highlight w:val="none"/>
          <w:lang w:val="en-US" w:eastAsia="zh-CN"/>
        </w:rPr>
        <w:t>（三）努力更新基础设施，在推进城市建设上有新突破。</w:t>
      </w:r>
      <w:r>
        <w:rPr>
          <w:rFonts w:hint="default" w:ascii="Times New Roman" w:hAnsi="Times New Roman" w:eastAsia="仿宋_GB2312" w:cs="Times New Roman"/>
          <w:b/>
          <w:bCs/>
          <w:sz w:val="32"/>
          <w:szCs w:val="32"/>
          <w:highlight w:val="none"/>
          <w:lang w:val="en-US" w:eastAsia="zh-CN"/>
        </w:rPr>
        <w:t>加强基础设施建设。</w:t>
      </w:r>
      <w:r>
        <w:rPr>
          <w:rFonts w:hint="default" w:ascii="Times New Roman" w:hAnsi="Times New Roman" w:eastAsia="仿宋_GB2312" w:cs="Times New Roman"/>
          <w:sz w:val="32"/>
          <w:szCs w:val="32"/>
          <w:highlight w:val="none"/>
          <w:lang w:val="en-US" w:eastAsia="zh-CN"/>
        </w:rPr>
        <w:t>积极推进路网维修改造、建筑垃圾转运调配场、净化水厂和幸福公园建设，有序推进排水管网和污水管网升级改造项目建设，进一步完善城市基础和公共服务设施，对学校和小区蓄水池、环卫设施进行设备更新，不断完善城市功能。</w:t>
      </w:r>
      <w:r>
        <w:rPr>
          <w:rFonts w:hint="default" w:ascii="Times New Roman" w:hAnsi="Times New Roman" w:eastAsia="仿宋_GB2312" w:cs="Times New Roman"/>
          <w:b/>
          <w:bCs/>
          <w:sz w:val="32"/>
          <w:szCs w:val="32"/>
          <w:highlight w:val="none"/>
          <w:lang w:val="en-US" w:eastAsia="zh-CN"/>
        </w:rPr>
        <w:t>提升城区管理水平。</w:t>
      </w:r>
      <w:r>
        <w:rPr>
          <w:rFonts w:hint="default" w:ascii="Times New Roman" w:hAnsi="Times New Roman" w:eastAsia="仿宋_GB2312" w:cs="Times New Roman"/>
          <w:sz w:val="32"/>
          <w:szCs w:val="32"/>
          <w:highlight w:val="none"/>
          <w:lang w:val="en-US" w:eastAsia="zh-CN"/>
        </w:rPr>
        <w:t>继续加强热网维护，提供优质供热服务。不断提升物业管理水平，切实提高居民满意度。加大对露天烧烤、占道经营、乱停乱放、乱贴乱画等行为治理力度，规范集市经营。开展环境综合整治会战，更大力度推进背街巷道全覆盖保洁，持续提升城市管理能力和服务水平。</w:t>
      </w:r>
      <w:r>
        <w:rPr>
          <w:rFonts w:hint="default" w:ascii="Times New Roman" w:hAnsi="Times New Roman" w:eastAsia="仿宋_GB2312" w:cs="Times New Roman"/>
          <w:b/>
          <w:bCs/>
          <w:sz w:val="32"/>
          <w:szCs w:val="32"/>
          <w:highlight w:val="none"/>
          <w:lang w:val="en-US" w:eastAsia="zh-CN"/>
        </w:rPr>
        <w:t>加大生态环境保护治理力度。</w:t>
      </w:r>
      <w:r>
        <w:rPr>
          <w:rFonts w:hint="default" w:ascii="Times New Roman" w:hAnsi="Times New Roman" w:eastAsia="仿宋_GB2312" w:cs="Times New Roman"/>
          <w:sz w:val="32"/>
          <w:szCs w:val="32"/>
          <w:highlight w:val="none"/>
          <w:lang w:val="en-US" w:eastAsia="zh-CN"/>
        </w:rPr>
        <w:t>深入贯彻落实中央和省级生态环境保护督察整改任务工作要求，从严从重打击各类破坏生态环境违法行为。完成</w:t>
      </w:r>
      <w:r>
        <w:rPr>
          <w:rFonts w:hint="default" w:ascii="Times New Roman" w:hAnsi="Times New Roman" w:eastAsia="仿宋_GB2312" w:cs="Times New Roman"/>
          <w:color w:val="auto"/>
          <w:sz w:val="32"/>
          <w:szCs w:val="32"/>
          <w:highlight w:val="none"/>
          <w:lang w:val="en-US" w:eastAsia="zh-CN"/>
        </w:rPr>
        <w:t>23</w:t>
      </w:r>
      <w:r>
        <w:rPr>
          <w:rFonts w:hint="default" w:ascii="Times New Roman" w:hAnsi="Times New Roman" w:eastAsia="仿宋_GB2312" w:cs="Times New Roman"/>
          <w:sz w:val="32"/>
          <w:szCs w:val="32"/>
          <w:highlight w:val="none"/>
        </w:rPr>
        <w:t>处历史遗留废弃矿山</w:t>
      </w:r>
      <w:r>
        <w:rPr>
          <w:rFonts w:hint="default" w:ascii="Times New Roman" w:hAnsi="Times New Roman" w:eastAsia="仿宋_GB2312" w:cs="Times New Roman"/>
          <w:sz w:val="32"/>
          <w:szCs w:val="32"/>
          <w:highlight w:val="none"/>
          <w:lang w:val="en-US" w:eastAsia="zh-CN"/>
        </w:rPr>
        <w:t>和煤矸石年度治理任务</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加快推进宝鑫热源厂锅炉淘汰改造项目，持续做好生态修复、侵蚀沟治理。合理施用化肥农药，扎实推进农业“三减”。启动七星河“幸福河湖”建设。加大建筑垃圾监管力度，严厉打击乱堆、乱倒建筑垃圾行为。</w:t>
      </w:r>
    </w:p>
    <w:p w14:paraId="7D3C051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楷体_GB2312" w:cs="Times New Roman"/>
          <w:b/>
          <w:bCs/>
          <w:sz w:val="32"/>
          <w:szCs w:val="32"/>
          <w:highlight w:val="none"/>
          <w:lang w:val="en-US" w:eastAsia="zh-CN"/>
        </w:rPr>
        <w:t>（四）</w:t>
      </w:r>
      <w:r>
        <w:rPr>
          <w:rFonts w:hint="default" w:ascii="Times New Roman" w:hAnsi="Times New Roman" w:eastAsia="楷体_GB2312" w:cs="Times New Roman"/>
          <w:b/>
          <w:bCs/>
          <w:sz w:val="32"/>
          <w:szCs w:val="32"/>
          <w:highlight w:val="none"/>
          <w:lang w:eastAsia="zh-CN"/>
        </w:rPr>
        <w:t>促进社会事业发展，在保障</w:t>
      </w:r>
      <w:r>
        <w:rPr>
          <w:rFonts w:hint="default" w:ascii="Times New Roman" w:hAnsi="Times New Roman" w:eastAsia="楷体_GB2312" w:cs="Times New Roman"/>
          <w:b/>
          <w:bCs/>
          <w:sz w:val="32"/>
          <w:szCs w:val="32"/>
          <w:highlight w:val="none"/>
          <w:lang w:val="en-US" w:eastAsia="zh-CN"/>
        </w:rPr>
        <w:t>改善</w:t>
      </w:r>
      <w:r>
        <w:rPr>
          <w:rFonts w:hint="default" w:ascii="Times New Roman" w:hAnsi="Times New Roman" w:eastAsia="楷体_GB2312" w:cs="Times New Roman"/>
          <w:b/>
          <w:bCs/>
          <w:sz w:val="32"/>
          <w:szCs w:val="32"/>
          <w:highlight w:val="none"/>
          <w:lang w:eastAsia="zh-CN"/>
        </w:rPr>
        <w:t>民生上有新</w:t>
      </w:r>
      <w:r>
        <w:rPr>
          <w:rFonts w:hint="default" w:ascii="Times New Roman" w:hAnsi="Times New Roman" w:eastAsia="楷体_GB2312" w:cs="Times New Roman"/>
          <w:b/>
          <w:bCs/>
          <w:sz w:val="32"/>
          <w:szCs w:val="32"/>
          <w:highlight w:val="none"/>
          <w:lang w:val="en-US" w:eastAsia="zh-CN"/>
        </w:rPr>
        <w:t>突破</w:t>
      </w:r>
      <w:r>
        <w:rPr>
          <w:rFonts w:hint="default" w:ascii="Times New Roman" w:hAnsi="Times New Roman" w:eastAsia="楷体_GB2312" w:cs="Times New Roman"/>
          <w:b/>
          <w:bCs/>
          <w:sz w:val="32"/>
          <w:szCs w:val="32"/>
          <w:highlight w:val="none"/>
          <w:lang w:eastAsia="zh-CN"/>
        </w:rPr>
        <w:t>。</w:t>
      </w:r>
      <w:r>
        <w:rPr>
          <w:rFonts w:hint="default" w:ascii="Times New Roman" w:hAnsi="Times New Roman" w:eastAsia="仿宋_GB2312" w:cs="Times New Roman"/>
          <w:b/>
          <w:bCs/>
          <w:sz w:val="32"/>
          <w:szCs w:val="32"/>
          <w:highlight w:val="none"/>
          <w:lang w:val="en-US" w:eastAsia="zh-CN"/>
        </w:rPr>
        <w:t>全面提升社会保障能力。</w:t>
      </w:r>
      <w:r>
        <w:rPr>
          <w:rFonts w:hint="default" w:ascii="Times New Roman" w:hAnsi="Times New Roman" w:eastAsia="仿宋_GB2312" w:cs="Times New Roman"/>
          <w:sz w:val="32"/>
          <w:szCs w:val="32"/>
          <w:highlight w:val="none"/>
          <w:lang w:val="en-US" w:eastAsia="zh-CN"/>
        </w:rPr>
        <w:t>完善基本民生保障体系，加大对孤老病残等群体的关爱力度，落实各项惠民政策，提升居民生活质量。继续做好城乡低保、特困人员等群体救助保障，实现居民应保尽保、应享尽享。鼓励二孩、三孩生育，兑现生育政策补贴。积极争取老年人居家养老服务设施项目资金，力争年内新建成养老服务站2个，实现区域内养老服务全覆盖。做好医保利民政策宣传，推进全民参保，参保率达到98%以上。加大劳动监察执法力度，保障农民工合法权益。进一步健全双拥工作机制，完善退役军人服务保障体系，做好退役军人优抚安置。</w:t>
      </w:r>
      <w:r>
        <w:rPr>
          <w:rFonts w:hint="default" w:ascii="Times New Roman" w:hAnsi="Times New Roman" w:eastAsia="仿宋_GB2312" w:cs="Times New Roman"/>
          <w:b/>
          <w:bCs/>
          <w:sz w:val="32"/>
          <w:szCs w:val="32"/>
          <w:highlight w:val="none"/>
          <w:lang w:val="en-US" w:eastAsia="zh-CN"/>
        </w:rPr>
        <w:t>健全现代公共服务体系。</w:t>
      </w:r>
      <w:r>
        <w:rPr>
          <w:rFonts w:hint="default" w:ascii="Times New Roman" w:hAnsi="Times New Roman" w:eastAsia="仿宋_GB2312" w:cs="Times New Roman"/>
          <w:sz w:val="32"/>
          <w:szCs w:val="32"/>
          <w:highlight w:val="none"/>
          <w:lang w:val="en-US" w:eastAsia="zh-CN"/>
        </w:rPr>
        <w:t>坚持就业优先政策，突出抓好重点群体和城镇就业困难人员就业创业。持续实施学前教育普及普惠攻坚行动，稳步推进义务教育优质均衡发展，深入推进教育改革，全面提高教育质量。整合辖区医疗资源，加强基层诊疗服务能力，推动区人民医院向矿区延伸服务，提升社区卫生服务中心医疗能力，加强卫生监督管理。</w:t>
      </w:r>
      <w:r>
        <w:rPr>
          <w:rFonts w:hint="default" w:ascii="Times New Roman" w:hAnsi="Times New Roman" w:eastAsia="仿宋_GB2312" w:cs="Times New Roman"/>
          <w:b/>
          <w:bCs/>
          <w:sz w:val="32"/>
          <w:szCs w:val="32"/>
          <w:highlight w:val="none"/>
          <w:lang w:val="en-US" w:eastAsia="zh-CN"/>
        </w:rPr>
        <w:t>提升公共文化服务能力。</w:t>
      </w:r>
      <w:r>
        <w:rPr>
          <w:rFonts w:hint="default" w:ascii="Times New Roman" w:hAnsi="Times New Roman" w:eastAsia="仿宋_GB2312" w:cs="Times New Roman"/>
          <w:sz w:val="32"/>
          <w:szCs w:val="32"/>
          <w:highlight w:val="none"/>
          <w:lang w:val="en-US" w:eastAsia="zh-CN"/>
        </w:rPr>
        <w:t>加强公共文化阵地建设，继续抓好文化体育场馆管护工作，加大文化遗产保护和非遗项目推广力度，深入实施文化惠民和全民健身工程，高质量推动群众团体文化发展。</w:t>
      </w:r>
      <w:r>
        <w:rPr>
          <w:rFonts w:hint="default" w:ascii="Times New Roman" w:hAnsi="Times New Roman" w:eastAsia="仿宋_GB2312" w:cs="Times New Roman"/>
          <w:b/>
          <w:bCs/>
          <w:sz w:val="32"/>
          <w:szCs w:val="32"/>
          <w:highlight w:val="none"/>
          <w:lang w:val="en-US" w:eastAsia="zh-CN"/>
        </w:rPr>
        <w:t>强化安全监管。</w:t>
      </w:r>
      <w:r>
        <w:rPr>
          <w:rFonts w:hint="default" w:ascii="Times New Roman" w:hAnsi="Times New Roman" w:eastAsia="仿宋_GB2312" w:cs="Times New Roman"/>
          <w:sz w:val="32"/>
          <w:szCs w:val="32"/>
          <w:highlight w:val="none"/>
          <w:lang w:val="en-US" w:eastAsia="zh-CN"/>
        </w:rPr>
        <w:t>始终把安全生产放在首要位置，切实保护人民群众生命财产安全。扎实推进安全生产治本攻坚三年行动和“护航亚冬”、今冬明春重大事故灾害隐患排查整治行动。抓好矿山、消防、危化品、道路交通、城镇燃气、建筑施工、食品药品等重点领域和人员密集场所安全监管，持续开展安全风险隐患排查整治，推进重大事故隐患动态</w:t>
      </w:r>
      <w:r>
        <w:rPr>
          <w:rFonts w:hint="default" w:ascii="Times New Roman" w:hAnsi="Times New Roman" w:eastAsia="仿宋_GB2312" w:cs="Times New Roman"/>
          <w:sz w:val="32"/>
          <w:szCs w:val="32"/>
          <w:highlight w:val="none"/>
        </w:rPr>
        <w:t>“清零”。</w:t>
      </w:r>
      <w:r>
        <w:rPr>
          <w:rFonts w:hint="default" w:ascii="Times New Roman" w:hAnsi="Times New Roman" w:eastAsia="仿宋_GB2312" w:cs="Times New Roman"/>
          <w:b/>
          <w:bCs/>
          <w:sz w:val="32"/>
          <w:szCs w:val="32"/>
          <w:highlight w:val="none"/>
          <w:lang w:val="en-US" w:eastAsia="zh-CN"/>
        </w:rPr>
        <w:t>加强社会矛盾化解治理。</w:t>
      </w:r>
      <w:r>
        <w:rPr>
          <w:rFonts w:hint="default" w:ascii="Times New Roman" w:hAnsi="Times New Roman" w:eastAsia="仿宋_GB2312" w:cs="Times New Roman"/>
          <w:sz w:val="32"/>
          <w:szCs w:val="32"/>
          <w:highlight w:val="none"/>
          <w:lang w:val="en-US" w:eastAsia="zh-CN"/>
        </w:rPr>
        <w:t>深入开展信访矛盾源头治理、“三访”治理、信访安全保障攻坚行动。发挥社区网格化管理体系作用，强化矛盾纠纷的排查、调处、化解力度，持续推进信访工作法治化，切实保障群众合法权益。常态化推进扫黑除恶斗争，严厉打击侵财、涉枪涉爆、电信网络诈骗、食药环领域、黄赌毒等各类违法犯罪活动，不断提升人民群众安全感。</w:t>
      </w:r>
    </w:p>
    <w:p w14:paraId="1569A31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楷体_GB2312" w:cs="Times New Roman"/>
          <w:b/>
          <w:bCs/>
          <w:sz w:val="32"/>
          <w:szCs w:val="32"/>
          <w:highlight w:val="none"/>
          <w:lang w:val="en-US" w:eastAsia="zh-CN"/>
        </w:rPr>
        <w:t>（五）厚植为民服务情怀</w:t>
      </w:r>
      <w:r>
        <w:rPr>
          <w:rFonts w:hint="default" w:ascii="Times New Roman" w:hAnsi="Times New Roman" w:eastAsia="楷体_GB2312" w:cs="Times New Roman"/>
          <w:b/>
          <w:bCs/>
          <w:sz w:val="32"/>
          <w:szCs w:val="32"/>
          <w:highlight w:val="none"/>
          <w:lang w:eastAsia="zh-CN"/>
        </w:rPr>
        <w:t>，在</w:t>
      </w:r>
      <w:r>
        <w:rPr>
          <w:rFonts w:hint="default" w:ascii="Times New Roman" w:hAnsi="Times New Roman" w:eastAsia="楷体_GB2312" w:cs="Times New Roman"/>
          <w:b/>
          <w:bCs/>
          <w:sz w:val="32"/>
          <w:szCs w:val="32"/>
          <w:highlight w:val="none"/>
          <w:lang w:val="en-US" w:eastAsia="zh-CN"/>
        </w:rPr>
        <w:t>政府自身建设上有新突破。</w:t>
      </w:r>
      <w:r>
        <w:rPr>
          <w:rFonts w:hint="default" w:ascii="Times New Roman" w:hAnsi="Times New Roman" w:eastAsia="仿宋_GB2312" w:cs="Times New Roman"/>
          <w:b/>
          <w:bCs/>
          <w:sz w:val="32"/>
          <w:szCs w:val="32"/>
          <w:highlight w:val="none"/>
          <w:lang w:val="en-US" w:eastAsia="zh-CN"/>
        </w:rPr>
        <w:t>旗帜鲜明讲政治。</w:t>
      </w:r>
      <w:r>
        <w:rPr>
          <w:rFonts w:hint="default" w:ascii="Times New Roman" w:hAnsi="Times New Roman" w:eastAsia="仿宋_GB2312" w:cs="Times New Roman"/>
          <w:sz w:val="32"/>
          <w:szCs w:val="32"/>
          <w:highlight w:val="none"/>
          <w:lang w:val="en-US" w:eastAsia="zh-CN"/>
        </w:rPr>
        <w:t>坚持以习近平新时代中国特色社会主义思想为指导，全面学习、把握、落实党的二十大和二十届二中、三中全会精神，不断提高政治判断力、政治领悟力、政治执行力，扛牢扛稳意识形态工作责任，始终做到区委有部署、政府见行动、落实有成效。</w:t>
      </w:r>
      <w:r>
        <w:rPr>
          <w:rFonts w:hint="default" w:ascii="Times New Roman" w:hAnsi="Times New Roman" w:eastAsia="仿宋_GB2312" w:cs="Times New Roman"/>
          <w:b/>
          <w:bCs/>
          <w:sz w:val="32"/>
          <w:szCs w:val="32"/>
          <w:highlight w:val="none"/>
          <w:lang w:val="en-US" w:eastAsia="zh-CN"/>
        </w:rPr>
        <w:t>依法行政履职责。</w:t>
      </w:r>
      <w:r>
        <w:rPr>
          <w:rFonts w:hint="default" w:ascii="Times New Roman" w:hAnsi="Times New Roman" w:eastAsia="仿宋_GB2312" w:cs="Times New Roman"/>
          <w:sz w:val="32"/>
          <w:szCs w:val="32"/>
          <w:highlight w:val="none"/>
          <w:lang w:val="en-US" w:eastAsia="zh-CN"/>
        </w:rPr>
        <w:t>深入学习贯彻习近平法治思想，严格依照法定权限和程序履行职责，带头依法行政、依法办事。认真执行“三重一大”集体决策制度，切实提高行政决策科学化、民主化、法治化水平。自觉接受人大依法监督、政协民主监督，高度重视社会和舆论监督，加强政务公开，扎实推进“八五”普法，使尊法、学法、守法、用法在全社会蔚然成风。</w:t>
      </w:r>
      <w:r>
        <w:rPr>
          <w:rFonts w:hint="default" w:ascii="Times New Roman" w:hAnsi="Times New Roman" w:eastAsia="仿宋_GB2312" w:cs="Times New Roman"/>
          <w:b/>
          <w:bCs/>
          <w:sz w:val="32"/>
          <w:szCs w:val="32"/>
          <w:highlight w:val="none"/>
          <w:lang w:val="en-US" w:eastAsia="zh-CN"/>
        </w:rPr>
        <w:t>一心为民守初心。</w:t>
      </w:r>
      <w:r>
        <w:rPr>
          <w:rFonts w:hint="default" w:ascii="Times New Roman" w:hAnsi="Times New Roman" w:eastAsia="仿宋_GB2312" w:cs="Times New Roman"/>
          <w:sz w:val="32"/>
          <w:szCs w:val="32"/>
          <w:highlight w:val="none"/>
          <w:lang w:val="en-US" w:eastAsia="zh-CN"/>
        </w:rPr>
        <w:t>着力践行以人民为中心的发展思想，时刻牢记人民政府为人民，把尊重民意、汇集民智、凝聚民力、改善民生贯穿政府全部工作之中。深入开展我为群众办实事、助企纾困等活动，高质量推进殡葬、“校园餐”等领域突出问题专项整治工作。坚持民之所思，我之所行，加快补齐民生领域短板，努力满足人民群众对美好生活的向往和追求。</w:t>
      </w:r>
      <w:r>
        <w:rPr>
          <w:rFonts w:hint="default" w:ascii="Times New Roman" w:hAnsi="Times New Roman" w:eastAsia="仿宋_GB2312" w:cs="Times New Roman"/>
          <w:b/>
          <w:bCs/>
          <w:sz w:val="32"/>
          <w:szCs w:val="32"/>
          <w:highlight w:val="none"/>
          <w:lang w:val="en-US" w:eastAsia="zh-CN"/>
        </w:rPr>
        <w:t>敢于担当抓落实。</w:t>
      </w:r>
      <w:r>
        <w:rPr>
          <w:rFonts w:hint="default" w:ascii="Times New Roman" w:hAnsi="Times New Roman" w:eastAsia="仿宋_GB2312" w:cs="Times New Roman"/>
          <w:sz w:val="32"/>
          <w:szCs w:val="32"/>
          <w:highlight w:val="none"/>
          <w:lang w:val="en-US" w:eastAsia="zh-CN"/>
        </w:rPr>
        <w:t>紧紧围绕区委决策部署，谋实策、出实招、办实事、求实效，坚持把抓落实、破难题作为鲜明特质，以奔跑的姿态前行，用决战的状态实干，敢于向优者学、与快者比、跟强者争、朝高者攀，真正把难办的事情办成、把应办的事情办好、把该办的事情办出彩。</w:t>
      </w:r>
      <w:r>
        <w:rPr>
          <w:rFonts w:hint="default" w:ascii="Times New Roman" w:hAnsi="Times New Roman" w:eastAsia="仿宋_GB2312" w:cs="Times New Roman"/>
          <w:b/>
          <w:bCs/>
          <w:sz w:val="32"/>
          <w:szCs w:val="32"/>
          <w:highlight w:val="none"/>
          <w:lang w:val="en-US" w:eastAsia="zh-CN"/>
        </w:rPr>
        <w:t>解放思想促改革。</w:t>
      </w:r>
      <w:r>
        <w:rPr>
          <w:rFonts w:hint="default" w:ascii="Times New Roman" w:hAnsi="Times New Roman" w:eastAsia="仿宋_GB2312" w:cs="Times New Roman"/>
          <w:sz w:val="32"/>
          <w:szCs w:val="32"/>
          <w:highlight w:val="none"/>
          <w:lang w:val="en-US" w:eastAsia="zh-CN"/>
        </w:rPr>
        <w:t>始终坚持以思想破冰引领发展突围，积极推进垦地融合，做好农垦改革后续工作，加速构建区域协调发展、合作共建新局面。持续推进“放管服”改革，深化教育、卫生、文化等制度体系建设，切实做到以改革破难题、以创新增活力。</w:t>
      </w:r>
      <w:r>
        <w:rPr>
          <w:rFonts w:hint="default" w:ascii="Times New Roman" w:hAnsi="Times New Roman" w:eastAsia="仿宋_GB2312" w:cs="Times New Roman"/>
          <w:b/>
          <w:bCs/>
          <w:sz w:val="32"/>
          <w:szCs w:val="32"/>
          <w:highlight w:val="none"/>
          <w:lang w:val="en-US" w:eastAsia="zh-CN"/>
        </w:rPr>
        <w:t>廉洁从政树形象。</w:t>
      </w:r>
      <w:r>
        <w:rPr>
          <w:rFonts w:hint="default" w:ascii="Times New Roman" w:hAnsi="Times New Roman" w:eastAsia="仿宋_GB2312" w:cs="Times New Roman"/>
          <w:sz w:val="32"/>
          <w:szCs w:val="32"/>
          <w:highlight w:val="none"/>
          <w:lang w:val="en-US" w:eastAsia="zh-CN"/>
        </w:rPr>
        <w:t>严格落实中央八项规定及其实施细则精神，持之以恒纠治“四风”，坚决抓好巡视巡察审计反馈问题整改。聚焦保基本民生、保工资、保运转，强化预算刚性约束，突出绩效评价管理，持续压减“三公”经费，切实把有限的资金花在刀刃上。深入落实党风廉政建设责任制和“一岗双责”，强化各类资金、国有资产、国有资源监管，严防重点领域、关键环节廉政风险，一体推进不敢腐、不能腐、不想腐，努力营造风清气正的政治生态。</w:t>
      </w:r>
    </w:p>
    <w:p w14:paraId="0F45401D">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各位</w:t>
      </w:r>
      <w:r>
        <w:rPr>
          <w:rFonts w:hint="eastAsia" w:ascii="Times New Roman" w:hAnsi="Times New Roman" w:eastAsia="仿宋_GB2312" w:cs="Times New Roman"/>
          <w:sz w:val="32"/>
          <w:szCs w:val="32"/>
          <w:highlight w:val="none"/>
          <w:lang w:val="en-US" w:eastAsia="zh-CN"/>
        </w:rPr>
        <w:t>代表</w:t>
      </w:r>
      <w:r>
        <w:rPr>
          <w:rFonts w:hint="default" w:ascii="Times New Roman" w:hAnsi="Times New Roman" w:eastAsia="仿宋_GB2312" w:cs="Times New Roman"/>
          <w:sz w:val="32"/>
          <w:szCs w:val="32"/>
          <w:highlight w:val="none"/>
        </w:rPr>
        <w:t>！任重千钧，惟有担当。让我们在市委、市政府和区委的坚强领导下，在区人大、区政协的监督支持下，团结和带领全区人民，以永不懈怠的精神状态和一往无前的奋斗姿态，勠力同心、砥砺前行，为全面建设社会主义现代化幸福宝山而努力奋斗！</w:t>
      </w:r>
    </w:p>
    <w:p w14:paraId="7A4CB044">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p>
    <w:p w14:paraId="7E363FFB">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p>
    <w:p w14:paraId="5D75A139">
      <w:pPr>
        <w:keepNext w:val="0"/>
        <w:keepLines w:val="0"/>
        <w:pageBreakBefore w:val="0"/>
        <w:kinsoku/>
        <w:wordWrap/>
        <w:overflowPunct/>
        <w:topLinePunct w:val="0"/>
        <w:autoSpaceDE/>
        <w:autoSpaceDN/>
        <w:bidi w:val="0"/>
        <w:spacing w:line="240" w:lineRule="auto"/>
        <w:jc w:val="center"/>
        <w:textAlignment w:val="auto"/>
        <w:rPr>
          <w:rFonts w:hint="eastAsia" w:ascii="方正小标宋简体" w:hAnsi="方正小标宋简体" w:eastAsia="方正小标宋简体" w:cs="方正小标宋简体"/>
          <w:b w:val="0"/>
          <w:bCs/>
          <w:color w:val="000000"/>
          <w:kern w:val="0"/>
          <w:sz w:val="40"/>
          <w:szCs w:val="40"/>
          <w:highlight w:val="none"/>
        </w:rPr>
        <w:sectPr>
          <w:headerReference r:id="rId3" w:type="default"/>
          <w:footerReference r:id="rId4" w:type="default"/>
          <w:pgSz w:w="11906" w:h="16838"/>
          <w:pgMar w:top="1440" w:right="1800" w:bottom="1157" w:left="1800" w:header="851" w:footer="992" w:gutter="0"/>
          <w:pgNumType w:fmt="decimal"/>
          <w:cols w:space="720" w:num="1"/>
          <w:docGrid w:type="lines" w:linePitch="312" w:charSpace="0"/>
        </w:sectPr>
      </w:pPr>
    </w:p>
    <w:p w14:paraId="27D3BCC5">
      <w:pPr>
        <w:keepNext w:val="0"/>
        <w:keepLines w:val="0"/>
        <w:pageBreakBefore w:val="0"/>
        <w:kinsoku/>
        <w:wordWrap/>
        <w:overflowPunct/>
        <w:topLinePunct w:val="0"/>
        <w:autoSpaceDE/>
        <w:autoSpaceDN/>
        <w:bidi w:val="0"/>
        <w:spacing w:line="240" w:lineRule="auto"/>
        <w:jc w:val="center"/>
        <w:textAlignment w:val="auto"/>
        <w:rPr>
          <w:rFonts w:hint="eastAsia" w:ascii="方正小标宋简体" w:hAnsi="方正小标宋简体" w:eastAsia="方正小标宋简体" w:cs="方正小标宋简体"/>
          <w:b w:val="0"/>
          <w:bCs/>
          <w:color w:val="000000"/>
          <w:kern w:val="0"/>
          <w:sz w:val="40"/>
          <w:szCs w:val="40"/>
          <w:highlight w:val="none"/>
        </w:rPr>
      </w:pPr>
      <w:r>
        <w:rPr>
          <w:rFonts w:hint="eastAsia" w:ascii="方正小标宋简体" w:hAnsi="方正小标宋简体" w:eastAsia="方正小标宋简体" w:cs="方正小标宋简体"/>
          <w:b w:val="0"/>
          <w:bCs/>
          <w:color w:val="000000"/>
          <w:kern w:val="0"/>
          <w:sz w:val="40"/>
          <w:szCs w:val="40"/>
          <w:highlight w:val="none"/>
        </w:rPr>
        <w:t>名 词 解 释</w:t>
      </w:r>
    </w:p>
    <w:p w14:paraId="2C1611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color w:val="000000"/>
          <w:kern w:val="0"/>
          <w:sz w:val="32"/>
          <w:szCs w:val="32"/>
          <w:highlight w:val="none"/>
          <w:lang w:val="en-US" w:eastAsia="zh-CN"/>
        </w:rPr>
      </w:pPr>
      <w:r>
        <w:rPr>
          <w:rFonts w:hint="default" w:ascii="Times New Roman" w:hAnsi="Times New Roman" w:eastAsia="仿宋_GB2312" w:cs="Times New Roman"/>
          <w:b w:val="0"/>
          <w:bCs/>
          <w:color w:val="000000"/>
          <w:kern w:val="0"/>
          <w:sz w:val="32"/>
          <w:szCs w:val="32"/>
          <w:highlight w:val="none"/>
          <w:lang w:val="en-US" w:eastAsia="zh-CN"/>
        </w:rPr>
        <w:t>1.</w:t>
      </w:r>
      <w:r>
        <w:rPr>
          <w:rFonts w:hint="default" w:ascii="Times New Roman" w:hAnsi="Times New Roman" w:eastAsia="仿宋_GB2312" w:cs="Times New Roman"/>
          <w:color w:val="auto"/>
          <w:spacing w:val="6"/>
          <w:sz w:val="32"/>
          <w:szCs w:val="32"/>
          <w:highlight w:val="none"/>
          <w:u w:val="none"/>
          <w:lang w:val="en-US" w:eastAsia="zh-CN"/>
        </w:rPr>
        <w:t>“四所一庭一中心”：由公安派出所、司法所、律师事务所、基层法律服务所、人民法庭、综治中心构建的矛盾纠纷化解体系。这一体系旨在通过各机构的协作和联动，共同处理纠纷，有助于矛盾纠纷更好地化解。</w:t>
      </w:r>
    </w:p>
    <w:p w14:paraId="5B536EA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val="0"/>
          <w:bCs/>
          <w:color w:val="000000"/>
          <w:kern w:val="0"/>
          <w:sz w:val="32"/>
          <w:szCs w:val="32"/>
          <w:highlight w:val="none"/>
          <w:lang w:val="en-US" w:eastAsia="zh-CN"/>
        </w:rPr>
        <w:t>2.</w:t>
      </w:r>
      <w:r>
        <w:rPr>
          <w:rFonts w:hint="default" w:ascii="Times New Roman" w:hAnsi="Times New Roman" w:eastAsia="仿宋_GB2312" w:cs="Times New Roman"/>
          <w:sz w:val="32"/>
          <w:szCs w:val="32"/>
          <w:highlight w:val="none"/>
          <w:lang w:val="en-US" w:eastAsia="zh-CN"/>
        </w:rPr>
        <w:t>“生态总长制”：</w:t>
      </w:r>
      <w:r>
        <w:rPr>
          <w:rFonts w:hint="default" w:ascii="Times New Roman" w:hAnsi="Times New Roman" w:eastAsia="仿宋_GB2312" w:cs="Times New Roman"/>
          <w:b w:val="0"/>
          <w:bCs/>
          <w:color w:val="000000"/>
          <w:spacing w:val="0"/>
          <w:kern w:val="0"/>
          <w:sz w:val="32"/>
          <w:szCs w:val="32"/>
          <w:lang w:val="en-US" w:eastAsia="zh-CN"/>
        </w:rPr>
        <w:t>双鸭山市深入践行习近平生态文明思想，聚焦“绿色黑龙江”建设，坚持绿色发展理念，发扬改革创新精神，依托全省“林长+联动机制”，紧盯生态治理保护体制机制障碍和组织运行弊端，整合林长制、河湖长制、田长制和生态保护等制度资源，探索建立双鸭山市“生态总长制”新模式，实现体制性重构和制度性重塑，大力提升生态治理能力和水平。</w:t>
      </w:r>
    </w:p>
    <w:p w14:paraId="56C71C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color w:val="000000"/>
          <w:kern w:val="0"/>
          <w:sz w:val="32"/>
          <w:szCs w:val="32"/>
          <w:highlight w:val="none"/>
          <w:lang w:val="en-US" w:eastAsia="zh-CN"/>
        </w:rPr>
      </w:pPr>
      <w:r>
        <w:rPr>
          <w:rFonts w:hint="default" w:ascii="Times New Roman" w:hAnsi="Times New Roman" w:eastAsia="仿宋_GB2312" w:cs="Times New Roman"/>
          <w:b w:val="0"/>
          <w:bCs/>
          <w:color w:val="000000"/>
          <w:kern w:val="0"/>
          <w:sz w:val="32"/>
          <w:szCs w:val="32"/>
          <w:highlight w:val="none"/>
          <w:lang w:val="en-US" w:eastAsia="zh-CN"/>
        </w:rPr>
        <w:t>3.</w:t>
      </w:r>
      <w:r>
        <w:rPr>
          <w:rFonts w:hint="default" w:ascii="Times New Roman" w:hAnsi="Times New Roman" w:eastAsia="仿宋_GB2312" w:cs="Times New Roman"/>
          <w:sz w:val="32"/>
          <w:szCs w:val="32"/>
          <w:highlight w:val="none"/>
          <w:lang w:val="en-US" w:eastAsia="zh-CN"/>
        </w:rPr>
        <w:t>“五大安全”：</w:t>
      </w:r>
      <w:r>
        <w:rPr>
          <w:rFonts w:hint="default" w:ascii="Times New Roman" w:hAnsi="Times New Roman" w:eastAsia="仿宋_GB2312" w:cs="Times New Roman"/>
          <w:b w:val="0"/>
          <w:bCs/>
          <w:color w:val="000000"/>
          <w:kern w:val="0"/>
          <w:sz w:val="32"/>
          <w:szCs w:val="32"/>
          <w:highlight w:val="none"/>
        </w:rPr>
        <w:t>指</w:t>
      </w:r>
      <w:r>
        <w:rPr>
          <w:rFonts w:hint="default" w:ascii="Times New Roman" w:hAnsi="Times New Roman" w:eastAsia="仿宋_GB2312" w:cs="Times New Roman"/>
          <w:b w:val="0"/>
          <w:bCs/>
          <w:color w:val="000000"/>
          <w:kern w:val="0"/>
          <w:sz w:val="32"/>
          <w:szCs w:val="32"/>
          <w:highlight w:val="none"/>
        </w:rPr>
        <w:fldChar w:fldCharType="begin"/>
      </w:r>
      <w:r>
        <w:rPr>
          <w:rFonts w:hint="default" w:ascii="Times New Roman" w:hAnsi="Times New Roman" w:eastAsia="仿宋_GB2312" w:cs="Times New Roman"/>
          <w:b w:val="0"/>
          <w:bCs/>
          <w:color w:val="000000"/>
          <w:kern w:val="0"/>
          <w:sz w:val="32"/>
          <w:szCs w:val="32"/>
          <w:highlight w:val="none"/>
        </w:rPr>
        <w:instrText xml:space="preserve"> HYPERLINK "https://www.baidu.com/s?wd=%E5%9B%BD%E5%AE%B6%E5%9B%BD%E9%98%B2%E5%AE%89%E5%85%A8&amp;rsv_idx=2&amp;tn=baiduhome_pg&amp;usm=3&amp;ie=utf-8&amp;rsv_pq=b7beca360000afd1&amp;oq=%E5%9B%BD%E5%AE%B6%E4%BA%94%E5%A4%A7%E5%AE%89%E5%85%A8&amp;rsv_t=1e3epGHJrMld03c63X2qIf8o9qeVUqAXJc0lX0KodlHhwxOctfQEfEf2N0POFa9yk6xY&amp;rsv_dl=re_dqa_generate&amp;sa=re_dqa_generate" \t "https://www.baidu.com/_self" </w:instrText>
      </w:r>
      <w:r>
        <w:rPr>
          <w:rFonts w:hint="default" w:ascii="Times New Roman" w:hAnsi="Times New Roman" w:eastAsia="仿宋_GB2312" w:cs="Times New Roman"/>
          <w:b w:val="0"/>
          <w:bCs/>
          <w:color w:val="000000"/>
          <w:kern w:val="0"/>
          <w:sz w:val="32"/>
          <w:szCs w:val="32"/>
          <w:highlight w:val="none"/>
        </w:rPr>
        <w:fldChar w:fldCharType="separate"/>
      </w:r>
      <w:r>
        <w:rPr>
          <w:rFonts w:hint="default" w:ascii="Times New Roman" w:hAnsi="Times New Roman" w:eastAsia="仿宋_GB2312" w:cs="Times New Roman"/>
          <w:b w:val="0"/>
          <w:bCs/>
          <w:color w:val="000000"/>
          <w:kern w:val="0"/>
          <w:sz w:val="32"/>
          <w:szCs w:val="32"/>
          <w:highlight w:val="none"/>
        </w:rPr>
        <w:t>国家国防安全</w:t>
      </w:r>
      <w:r>
        <w:rPr>
          <w:rFonts w:hint="default" w:ascii="Times New Roman" w:hAnsi="Times New Roman" w:eastAsia="仿宋_GB2312" w:cs="Times New Roman"/>
          <w:b w:val="0"/>
          <w:bCs/>
          <w:color w:val="000000"/>
          <w:kern w:val="0"/>
          <w:sz w:val="32"/>
          <w:szCs w:val="32"/>
          <w:highlight w:val="none"/>
        </w:rPr>
        <w:fldChar w:fldCharType="end"/>
      </w:r>
      <w:r>
        <w:rPr>
          <w:rFonts w:hint="default" w:ascii="Times New Roman" w:hAnsi="Times New Roman" w:eastAsia="仿宋_GB2312" w:cs="Times New Roman"/>
          <w:b w:val="0"/>
          <w:bCs/>
          <w:color w:val="000000"/>
          <w:kern w:val="0"/>
          <w:sz w:val="32"/>
          <w:szCs w:val="32"/>
          <w:highlight w:val="none"/>
        </w:rPr>
        <w:t>、</w:t>
      </w:r>
      <w:r>
        <w:rPr>
          <w:rFonts w:hint="default" w:ascii="Times New Roman" w:hAnsi="Times New Roman" w:eastAsia="仿宋_GB2312" w:cs="Times New Roman"/>
          <w:b w:val="0"/>
          <w:bCs/>
          <w:color w:val="000000"/>
          <w:kern w:val="0"/>
          <w:sz w:val="32"/>
          <w:szCs w:val="32"/>
          <w:highlight w:val="none"/>
        </w:rPr>
        <w:fldChar w:fldCharType="begin"/>
      </w:r>
      <w:r>
        <w:rPr>
          <w:rFonts w:hint="default" w:ascii="Times New Roman" w:hAnsi="Times New Roman" w:eastAsia="仿宋_GB2312" w:cs="Times New Roman"/>
          <w:b w:val="0"/>
          <w:bCs/>
          <w:color w:val="000000"/>
          <w:kern w:val="0"/>
          <w:sz w:val="32"/>
          <w:szCs w:val="32"/>
          <w:highlight w:val="none"/>
        </w:rPr>
        <w:instrText xml:space="preserve"> HYPERLINK "https://www.baidu.com/s?wd=%E7%B2%AE%E9%A3%9F%E5%AE%89%E5%85%A8&amp;rsv_idx=2&amp;tn=baiduhome_pg&amp;usm=3&amp;ie=utf-8&amp;rsv_pq=b7beca360000afd1&amp;oq=%E5%9B%BD%E5%AE%B6%E4%BA%94%E5%A4%A7%E5%AE%89%E5%85%A8&amp;rsv_t=3cb2bplhIffXPaCKKR7+JIZ65XSFVyeVcR1LN6CR1veSo1CSP/3xBe3zi1d6CEcKGcEO&amp;rsv_dl=re_dqa_generate&amp;sa=re_dqa_generate" \t "https://www.baidu.com/_self" </w:instrText>
      </w:r>
      <w:r>
        <w:rPr>
          <w:rFonts w:hint="default" w:ascii="Times New Roman" w:hAnsi="Times New Roman" w:eastAsia="仿宋_GB2312" w:cs="Times New Roman"/>
          <w:b w:val="0"/>
          <w:bCs/>
          <w:color w:val="000000"/>
          <w:kern w:val="0"/>
          <w:sz w:val="32"/>
          <w:szCs w:val="32"/>
          <w:highlight w:val="none"/>
        </w:rPr>
        <w:fldChar w:fldCharType="separate"/>
      </w:r>
      <w:r>
        <w:rPr>
          <w:rFonts w:hint="default" w:ascii="Times New Roman" w:hAnsi="Times New Roman" w:eastAsia="仿宋_GB2312" w:cs="Times New Roman"/>
          <w:b w:val="0"/>
          <w:bCs/>
          <w:color w:val="000000"/>
          <w:kern w:val="0"/>
          <w:sz w:val="32"/>
          <w:szCs w:val="32"/>
          <w:highlight w:val="none"/>
        </w:rPr>
        <w:t>粮食安全</w:t>
      </w:r>
      <w:r>
        <w:rPr>
          <w:rFonts w:hint="default" w:ascii="Times New Roman" w:hAnsi="Times New Roman" w:eastAsia="仿宋_GB2312" w:cs="Times New Roman"/>
          <w:b w:val="0"/>
          <w:bCs/>
          <w:color w:val="000000"/>
          <w:kern w:val="0"/>
          <w:sz w:val="32"/>
          <w:szCs w:val="32"/>
          <w:highlight w:val="none"/>
        </w:rPr>
        <w:fldChar w:fldCharType="end"/>
      </w:r>
      <w:r>
        <w:rPr>
          <w:rFonts w:hint="default" w:ascii="Times New Roman" w:hAnsi="Times New Roman" w:eastAsia="仿宋_GB2312" w:cs="Times New Roman"/>
          <w:b w:val="0"/>
          <w:bCs/>
          <w:color w:val="000000"/>
          <w:kern w:val="0"/>
          <w:sz w:val="32"/>
          <w:szCs w:val="32"/>
          <w:highlight w:val="none"/>
        </w:rPr>
        <w:t>、</w:t>
      </w:r>
      <w:r>
        <w:rPr>
          <w:rFonts w:hint="default" w:ascii="Times New Roman" w:hAnsi="Times New Roman" w:eastAsia="仿宋_GB2312" w:cs="Times New Roman"/>
          <w:b w:val="0"/>
          <w:bCs/>
          <w:color w:val="000000"/>
          <w:kern w:val="0"/>
          <w:sz w:val="32"/>
          <w:szCs w:val="32"/>
          <w:highlight w:val="none"/>
        </w:rPr>
        <w:fldChar w:fldCharType="begin"/>
      </w:r>
      <w:r>
        <w:rPr>
          <w:rFonts w:hint="default" w:ascii="Times New Roman" w:hAnsi="Times New Roman" w:eastAsia="仿宋_GB2312" w:cs="Times New Roman"/>
          <w:b w:val="0"/>
          <w:bCs/>
          <w:color w:val="000000"/>
          <w:kern w:val="0"/>
          <w:sz w:val="32"/>
          <w:szCs w:val="32"/>
          <w:highlight w:val="none"/>
        </w:rPr>
        <w:instrText xml:space="preserve"> HYPERLINK "https://www.baidu.com/s?wd=%E7%94%9F%E6%80%81%E5%AE%89%E5%85%A8&amp;rsv_idx=2&amp;tn=baiduhome_pg&amp;usm=3&amp;ie=utf-8&amp;rsv_pq=b7beca360000afd1&amp;oq=%E5%9B%BD%E5%AE%B6%E4%BA%94%E5%A4%A7%E5%AE%89%E5%85%A8&amp;rsv_t=3c13cW+l/+O3dDMdwa/OqB1Ts+uGU4uvfuNejRlBbwcd0cVaR/hKX5cDDwltV6rrAv7z&amp;rsv_dl=re_dqa_generate&amp;sa=re_dqa_generate" \t "https://www.baidu.com/_self" </w:instrText>
      </w:r>
      <w:r>
        <w:rPr>
          <w:rFonts w:hint="default" w:ascii="Times New Roman" w:hAnsi="Times New Roman" w:eastAsia="仿宋_GB2312" w:cs="Times New Roman"/>
          <w:b w:val="0"/>
          <w:bCs/>
          <w:color w:val="000000"/>
          <w:kern w:val="0"/>
          <w:sz w:val="32"/>
          <w:szCs w:val="32"/>
          <w:highlight w:val="none"/>
        </w:rPr>
        <w:fldChar w:fldCharType="separate"/>
      </w:r>
      <w:r>
        <w:rPr>
          <w:rFonts w:hint="default" w:ascii="Times New Roman" w:hAnsi="Times New Roman" w:eastAsia="仿宋_GB2312" w:cs="Times New Roman"/>
          <w:b w:val="0"/>
          <w:bCs/>
          <w:color w:val="000000"/>
          <w:kern w:val="0"/>
          <w:sz w:val="32"/>
          <w:szCs w:val="32"/>
          <w:highlight w:val="none"/>
        </w:rPr>
        <w:t>生态安全</w:t>
      </w:r>
      <w:r>
        <w:rPr>
          <w:rFonts w:hint="default" w:ascii="Times New Roman" w:hAnsi="Times New Roman" w:eastAsia="仿宋_GB2312" w:cs="Times New Roman"/>
          <w:b w:val="0"/>
          <w:bCs/>
          <w:color w:val="000000"/>
          <w:kern w:val="0"/>
          <w:sz w:val="32"/>
          <w:szCs w:val="32"/>
          <w:highlight w:val="none"/>
        </w:rPr>
        <w:fldChar w:fldCharType="end"/>
      </w:r>
      <w:r>
        <w:rPr>
          <w:rFonts w:hint="default" w:ascii="Times New Roman" w:hAnsi="Times New Roman" w:eastAsia="仿宋_GB2312" w:cs="Times New Roman"/>
          <w:b w:val="0"/>
          <w:bCs/>
          <w:color w:val="000000"/>
          <w:kern w:val="0"/>
          <w:sz w:val="32"/>
          <w:szCs w:val="32"/>
          <w:highlight w:val="none"/>
        </w:rPr>
        <w:t>、</w:t>
      </w:r>
      <w:r>
        <w:rPr>
          <w:rFonts w:hint="default" w:ascii="Times New Roman" w:hAnsi="Times New Roman" w:eastAsia="仿宋_GB2312" w:cs="Times New Roman"/>
          <w:b w:val="0"/>
          <w:bCs/>
          <w:color w:val="000000"/>
          <w:kern w:val="0"/>
          <w:sz w:val="32"/>
          <w:szCs w:val="32"/>
          <w:highlight w:val="none"/>
        </w:rPr>
        <w:fldChar w:fldCharType="begin"/>
      </w:r>
      <w:r>
        <w:rPr>
          <w:rFonts w:hint="default" w:ascii="Times New Roman" w:hAnsi="Times New Roman" w:eastAsia="仿宋_GB2312" w:cs="Times New Roman"/>
          <w:b w:val="0"/>
          <w:bCs/>
          <w:color w:val="000000"/>
          <w:kern w:val="0"/>
          <w:sz w:val="32"/>
          <w:szCs w:val="32"/>
          <w:highlight w:val="none"/>
        </w:rPr>
        <w:instrText xml:space="preserve"> HYPERLINK "https://www.baidu.com/s?wd=%E8%83%BD%E6%BA%90%E5%AE%89%E5%85%A8&amp;rsv_idx=2&amp;tn=baiduhome_pg&amp;usm=3&amp;ie=utf-8&amp;rsv_pq=b7beca360000afd1&amp;oq=%E5%9B%BD%E5%AE%B6%E4%BA%94%E5%A4%A7%E5%AE%89%E5%85%A8&amp;rsv_t=121cSy1QM8ppwyiAiSmUYKSqY0IF3tdKH+VdyLp8dsEu9znFFMNI0risF7a14H8ezR0n&amp;rsv_dl=re_dqa_generate&amp;sa=re_dqa_generate" \t "https://www.baidu.com/_self" </w:instrText>
      </w:r>
      <w:r>
        <w:rPr>
          <w:rFonts w:hint="default" w:ascii="Times New Roman" w:hAnsi="Times New Roman" w:eastAsia="仿宋_GB2312" w:cs="Times New Roman"/>
          <w:b w:val="0"/>
          <w:bCs/>
          <w:color w:val="000000"/>
          <w:kern w:val="0"/>
          <w:sz w:val="32"/>
          <w:szCs w:val="32"/>
          <w:highlight w:val="none"/>
        </w:rPr>
        <w:fldChar w:fldCharType="separate"/>
      </w:r>
      <w:r>
        <w:rPr>
          <w:rFonts w:hint="default" w:ascii="Times New Roman" w:hAnsi="Times New Roman" w:eastAsia="仿宋_GB2312" w:cs="Times New Roman"/>
          <w:b w:val="0"/>
          <w:bCs/>
          <w:color w:val="000000"/>
          <w:kern w:val="0"/>
          <w:sz w:val="32"/>
          <w:szCs w:val="32"/>
          <w:highlight w:val="none"/>
        </w:rPr>
        <w:t>能源安全</w:t>
      </w:r>
      <w:r>
        <w:rPr>
          <w:rFonts w:hint="default" w:ascii="Times New Roman" w:hAnsi="Times New Roman" w:eastAsia="仿宋_GB2312" w:cs="Times New Roman"/>
          <w:b w:val="0"/>
          <w:bCs/>
          <w:color w:val="000000"/>
          <w:kern w:val="0"/>
          <w:sz w:val="32"/>
          <w:szCs w:val="32"/>
          <w:highlight w:val="none"/>
        </w:rPr>
        <w:fldChar w:fldCharType="end"/>
      </w:r>
      <w:r>
        <w:rPr>
          <w:rFonts w:hint="default" w:ascii="Times New Roman" w:hAnsi="Times New Roman" w:eastAsia="仿宋_GB2312" w:cs="Times New Roman"/>
          <w:b w:val="0"/>
          <w:bCs/>
          <w:color w:val="000000"/>
          <w:kern w:val="0"/>
          <w:sz w:val="32"/>
          <w:szCs w:val="32"/>
          <w:highlight w:val="none"/>
        </w:rPr>
        <w:t>和</w:t>
      </w:r>
      <w:r>
        <w:rPr>
          <w:rFonts w:hint="default" w:ascii="Times New Roman" w:hAnsi="Times New Roman" w:eastAsia="仿宋_GB2312" w:cs="Times New Roman"/>
          <w:b w:val="0"/>
          <w:bCs/>
          <w:color w:val="000000"/>
          <w:kern w:val="0"/>
          <w:sz w:val="32"/>
          <w:szCs w:val="32"/>
          <w:highlight w:val="none"/>
        </w:rPr>
        <w:fldChar w:fldCharType="begin"/>
      </w:r>
      <w:r>
        <w:rPr>
          <w:rFonts w:hint="default" w:ascii="Times New Roman" w:hAnsi="Times New Roman" w:eastAsia="仿宋_GB2312" w:cs="Times New Roman"/>
          <w:b w:val="0"/>
          <w:bCs/>
          <w:color w:val="000000"/>
          <w:kern w:val="0"/>
          <w:sz w:val="32"/>
          <w:szCs w:val="32"/>
          <w:highlight w:val="none"/>
        </w:rPr>
        <w:instrText xml:space="preserve"> HYPERLINK "https://www.baidu.com/s?wd=%E4%BA%A7%E4%B8%9A%E5%AE%89%E5%85%A8&amp;rsv_idx=2&amp;tn=baiduhome_pg&amp;usm=3&amp;ie=utf-8&amp;rsv_pq=b7beca360000afd1&amp;oq=%E5%9B%BD%E5%AE%B6%E4%BA%94%E5%A4%A7%E5%AE%89%E5%85%A8&amp;rsv_t=dff7dVW8d8DvfDKocG0vxdCqZohYMnYfsFgvFoPs3QeEMA697UWFFXa3rQleCH2CCi5Y&amp;rsv_dl=re_dqa_generate&amp;sa=re_dqa_generate" \t "https://www.baidu.com/_self" </w:instrText>
      </w:r>
      <w:r>
        <w:rPr>
          <w:rFonts w:hint="default" w:ascii="Times New Roman" w:hAnsi="Times New Roman" w:eastAsia="仿宋_GB2312" w:cs="Times New Roman"/>
          <w:b w:val="0"/>
          <w:bCs/>
          <w:color w:val="000000"/>
          <w:kern w:val="0"/>
          <w:sz w:val="32"/>
          <w:szCs w:val="32"/>
          <w:highlight w:val="none"/>
        </w:rPr>
        <w:fldChar w:fldCharType="separate"/>
      </w:r>
      <w:r>
        <w:rPr>
          <w:rFonts w:hint="default" w:ascii="Times New Roman" w:hAnsi="Times New Roman" w:eastAsia="仿宋_GB2312" w:cs="Times New Roman"/>
          <w:b w:val="0"/>
          <w:bCs/>
          <w:color w:val="000000"/>
          <w:kern w:val="0"/>
          <w:sz w:val="32"/>
          <w:szCs w:val="32"/>
          <w:highlight w:val="none"/>
        </w:rPr>
        <w:t>产业安全</w:t>
      </w:r>
      <w:r>
        <w:rPr>
          <w:rFonts w:hint="default" w:ascii="Times New Roman" w:hAnsi="Times New Roman" w:eastAsia="仿宋_GB2312" w:cs="Times New Roman"/>
          <w:b w:val="0"/>
          <w:bCs/>
          <w:color w:val="000000"/>
          <w:kern w:val="0"/>
          <w:sz w:val="32"/>
          <w:szCs w:val="32"/>
          <w:highlight w:val="none"/>
        </w:rPr>
        <w:fldChar w:fldCharType="end"/>
      </w:r>
      <w:r>
        <w:rPr>
          <w:rFonts w:hint="default" w:ascii="Times New Roman" w:hAnsi="Times New Roman" w:eastAsia="仿宋_GB2312" w:cs="Times New Roman"/>
          <w:b w:val="0"/>
          <w:bCs/>
          <w:color w:val="000000"/>
          <w:kern w:val="0"/>
          <w:sz w:val="32"/>
          <w:szCs w:val="32"/>
          <w:highlight w:val="none"/>
          <w:lang w:eastAsia="zh-CN"/>
        </w:rPr>
        <w:t>。</w:t>
      </w:r>
    </w:p>
    <w:p w14:paraId="7FBCAA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color w:val="000000"/>
          <w:kern w:val="0"/>
          <w:sz w:val="32"/>
          <w:szCs w:val="32"/>
          <w:highlight w:val="none"/>
          <w:lang w:val="en-US" w:eastAsia="zh-CN"/>
        </w:rPr>
      </w:pPr>
      <w:r>
        <w:rPr>
          <w:rFonts w:hint="default" w:ascii="Times New Roman" w:hAnsi="Times New Roman" w:eastAsia="仿宋_GB2312" w:cs="Times New Roman"/>
          <w:b w:val="0"/>
          <w:bCs/>
          <w:color w:val="000000"/>
          <w:kern w:val="0"/>
          <w:sz w:val="32"/>
          <w:szCs w:val="32"/>
          <w:highlight w:val="none"/>
          <w:lang w:val="en-US" w:eastAsia="zh-CN"/>
        </w:rPr>
        <w:t>4.</w:t>
      </w:r>
      <w:r>
        <w:rPr>
          <w:rFonts w:hint="default" w:ascii="Times New Roman" w:hAnsi="Times New Roman" w:eastAsia="仿宋_GB2312" w:cs="Times New Roman"/>
          <w:sz w:val="32"/>
          <w:szCs w:val="32"/>
          <w:highlight w:val="none"/>
          <w:lang w:val="en-US" w:eastAsia="zh-CN"/>
        </w:rPr>
        <w:t>“三个转变”：</w:t>
      </w:r>
      <w:r>
        <w:rPr>
          <w:rFonts w:hint="default" w:ascii="Times New Roman" w:hAnsi="Times New Roman" w:eastAsia="仿宋_GB2312" w:cs="Times New Roman"/>
          <w:b w:val="0"/>
          <w:bCs/>
          <w:color w:val="000000"/>
          <w:kern w:val="0"/>
          <w:sz w:val="32"/>
          <w:szCs w:val="32"/>
          <w:highlight w:val="none"/>
        </w:rPr>
        <w:t>需求结构转变</w:t>
      </w:r>
      <w:r>
        <w:rPr>
          <w:rFonts w:hint="default" w:ascii="Times New Roman" w:hAnsi="Times New Roman" w:eastAsia="仿宋_GB2312" w:cs="Times New Roman"/>
          <w:b w:val="0"/>
          <w:bCs/>
          <w:color w:val="000000"/>
          <w:kern w:val="0"/>
          <w:sz w:val="32"/>
          <w:szCs w:val="32"/>
          <w:highlight w:val="none"/>
          <w:lang w:eastAsia="zh-CN"/>
        </w:rPr>
        <w:t>、</w:t>
      </w:r>
      <w:r>
        <w:rPr>
          <w:rFonts w:hint="default" w:ascii="Times New Roman" w:hAnsi="Times New Roman" w:eastAsia="仿宋_GB2312" w:cs="Times New Roman"/>
          <w:b w:val="0"/>
          <w:bCs/>
          <w:color w:val="000000"/>
          <w:kern w:val="0"/>
          <w:sz w:val="32"/>
          <w:szCs w:val="32"/>
          <w:highlight w:val="none"/>
        </w:rPr>
        <w:t>产业结构转变</w:t>
      </w:r>
      <w:r>
        <w:rPr>
          <w:rFonts w:hint="default" w:ascii="Times New Roman" w:hAnsi="Times New Roman" w:eastAsia="仿宋_GB2312" w:cs="Times New Roman"/>
          <w:b w:val="0"/>
          <w:bCs/>
          <w:color w:val="000000"/>
          <w:kern w:val="0"/>
          <w:sz w:val="32"/>
          <w:szCs w:val="32"/>
          <w:highlight w:val="none"/>
          <w:lang w:eastAsia="zh-CN"/>
        </w:rPr>
        <w:t>、</w:t>
      </w:r>
      <w:r>
        <w:rPr>
          <w:rFonts w:hint="default" w:ascii="Times New Roman" w:hAnsi="Times New Roman" w:eastAsia="仿宋_GB2312" w:cs="Times New Roman"/>
          <w:b w:val="0"/>
          <w:bCs/>
          <w:color w:val="000000"/>
          <w:kern w:val="0"/>
          <w:sz w:val="32"/>
          <w:szCs w:val="32"/>
          <w:highlight w:val="none"/>
        </w:rPr>
        <w:t>增长动力转变</w:t>
      </w:r>
      <w:r>
        <w:rPr>
          <w:rFonts w:hint="default" w:ascii="Times New Roman" w:hAnsi="Times New Roman" w:eastAsia="仿宋_GB2312" w:cs="Times New Roman"/>
          <w:b w:val="0"/>
          <w:bCs/>
          <w:color w:val="000000"/>
          <w:kern w:val="0"/>
          <w:sz w:val="32"/>
          <w:szCs w:val="32"/>
          <w:highlight w:val="none"/>
          <w:lang w:eastAsia="zh-CN"/>
        </w:rPr>
        <w:t>。</w:t>
      </w:r>
    </w:p>
    <w:p w14:paraId="102E9D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color w:val="000000"/>
          <w:kern w:val="0"/>
          <w:sz w:val="32"/>
          <w:szCs w:val="32"/>
          <w:highlight w:val="none"/>
          <w:lang w:val="en-US" w:eastAsia="zh-CN"/>
        </w:rPr>
      </w:pPr>
      <w:r>
        <w:rPr>
          <w:rFonts w:hint="default" w:ascii="Times New Roman" w:hAnsi="Times New Roman" w:eastAsia="仿宋_GB2312" w:cs="Times New Roman"/>
          <w:b w:val="0"/>
          <w:bCs/>
          <w:color w:val="000000"/>
          <w:kern w:val="0"/>
          <w:sz w:val="32"/>
          <w:szCs w:val="32"/>
          <w:highlight w:val="none"/>
          <w:lang w:val="en-US" w:eastAsia="zh-CN"/>
        </w:rPr>
        <w:t>5.</w:t>
      </w:r>
      <w:r>
        <w:rPr>
          <w:rFonts w:hint="default" w:ascii="Times New Roman" w:hAnsi="Times New Roman" w:eastAsia="仿宋_GB2312" w:cs="Times New Roman"/>
          <w:sz w:val="32"/>
          <w:szCs w:val="32"/>
          <w:highlight w:val="none"/>
          <w:lang w:val="en-US" w:eastAsia="zh-CN"/>
        </w:rPr>
        <w:t>“六大主导产业”：</w:t>
      </w:r>
      <w:r>
        <w:rPr>
          <w:rFonts w:hint="default" w:ascii="Times New Roman" w:hAnsi="Times New Roman" w:eastAsia="仿宋_GB2312" w:cs="Times New Roman"/>
          <w:b w:val="0"/>
          <w:bCs/>
          <w:color w:val="000000"/>
          <w:kern w:val="0"/>
          <w:sz w:val="32"/>
          <w:szCs w:val="32"/>
          <w:highlight w:val="none"/>
        </w:rPr>
        <w:t>煤炭、电力、钢铁、粮食、旅游、新材料</w:t>
      </w:r>
      <w:r>
        <w:rPr>
          <w:rFonts w:hint="default" w:ascii="Times New Roman" w:hAnsi="Times New Roman" w:eastAsia="仿宋_GB2312" w:cs="Times New Roman"/>
          <w:b w:val="0"/>
          <w:bCs/>
          <w:color w:val="000000"/>
          <w:kern w:val="0"/>
          <w:sz w:val="32"/>
          <w:szCs w:val="32"/>
          <w:highlight w:val="none"/>
          <w:lang w:eastAsia="zh-CN"/>
        </w:rPr>
        <w:t>。</w:t>
      </w:r>
      <w:r>
        <w:rPr>
          <w:rFonts w:hint="default" w:ascii="Times New Roman" w:hAnsi="Times New Roman" w:eastAsia="仿宋_GB2312" w:cs="Times New Roman"/>
          <w:b w:val="0"/>
          <w:bCs/>
          <w:color w:val="000000"/>
          <w:kern w:val="0"/>
          <w:sz w:val="32"/>
          <w:szCs w:val="32"/>
          <w:highlight w:val="none"/>
        </w:rPr>
        <w:t>‌</w:t>
      </w:r>
    </w:p>
    <w:p w14:paraId="35213B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color w:val="000000"/>
          <w:kern w:val="0"/>
          <w:sz w:val="32"/>
          <w:szCs w:val="32"/>
          <w:highlight w:val="none"/>
          <w:lang w:val="en-US" w:eastAsia="zh-CN"/>
        </w:rPr>
      </w:pPr>
      <w:r>
        <w:rPr>
          <w:rFonts w:hint="default" w:ascii="Times New Roman" w:hAnsi="Times New Roman" w:eastAsia="仿宋_GB2312" w:cs="Times New Roman"/>
          <w:b w:val="0"/>
          <w:bCs/>
          <w:color w:val="000000"/>
          <w:kern w:val="0"/>
          <w:sz w:val="32"/>
          <w:szCs w:val="32"/>
          <w:highlight w:val="none"/>
          <w:lang w:val="en-US" w:eastAsia="zh-CN"/>
        </w:rPr>
        <w:t>6.</w:t>
      </w:r>
      <w:r>
        <w:rPr>
          <w:rFonts w:hint="default" w:ascii="Times New Roman" w:hAnsi="Times New Roman" w:eastAsia="仿宋_GB2312" w:cs="Times New Roman"/>
          <w:sz w:val="32"/>
          <w:szCs w:val="32"/>
          <w:highlight w:val="none"/>
          <w:lang w:val="en-US" w:eastAsia="zh-CN"/>
        </w:rPr>
        <w:t>“六个四”实施路径：</w:t>
      </w:r>
      <w:r>
        <w:rPr>
          <w:rFonts w:hint="default" w:ascii="Times New Roman" w:hAnsi="Times New Roman" w:eastAsia="仿宋_GB2312" w:cs="Times New Roman"/>
          <w:b w:val="0"/>
          <w:bCs/>
          <w:color w:val="000000"/>
          <w:spacing w:val="0"/>
          <w:kern w:val="0"/>
          <w:sz w:val="32"/>
          <w:szCs w:val="32"/>
          <w:lang w:val="en-US" w:eastAsia="zh-CN"/>
        </w:rPr>
        <w:t>双鸭山市第十二届委员会第四次全体会议提出：“以建强‘四大基地’为目标，全力打造特色优势产业体系。以实施‘四大工程’为重点，加快推进农业农村现代化。以打造‘四个品牌’为载体，加快建设独具特色全域旅游新地标。以建设‘四个平台’为牵动，全力构建开放合作新格局。以增强‘四个动力’为引擎，激发转型高质量发展活力。以开展‘四项行动’为抓手，用心打造群众满意幸福生活。</w:t>
      </w:r>
    </w:p>
    <w:p w14:paraId="607A87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color w:val="000000"/>
          <w:spacing w:val="0"/>
          <w:kern w:val="0"/>
          <w:sz w:val="32"/>
          <w:szCs w:val="32"/>
          <w:lang w:val="en-US" w:eastAsia="zh-CN"/>
        </w:rPr>
      </w:pPr>
      <w:r>
        <w:rPr>
          <w:rFonts w:hint="default" w:ascii="Times New Roman" w:hAnsi="Times New Roman" w:eastAsia="仿宋_GB2312" w:cs="Times New Roman"/>
          <w:b w:val="0"/>
          <w:bCs/>
          <w:color w:val="000000"/>
          <w:kern w:val="0"/>
          <w:sz w:val="32"/>
          <w:szCs w:val="32"/>
          <w:highlight w:val="none"/>
          <w:lang w:val="en-US" w:eastAsia="zh-CN"/>
        </w:rPr>
        <w:t>7.</w:t>
      </w:r>
      <w:r>
        <w:rPr>
          <w:rFonts w:hint="default" w:ascii="Times New Roman" w:hAnsi="Times New Roman" w:eastAsia="仿宋_GB2312" w:cs="Times New Roman"/>
          <w:sz w:val="32"/>
          <w:szCs w:val="32"/>
          <w:highlight w:val="none"/>
          <w:lang w:val="en-US" w:eastAsia="zh-CN"/>
        </w:rPr>
        <w:t>“两新”</w:t>
      </w:r>
      <w:r>
        <w:rPr>
          <w:rFonts w:hint="default" w:ascii="Times New Roman" w:hAnsi="Times New Roman" w:eastAsia="仿宋_GB2312" w:cs="Times New Roman"/>
          <w:b w:val="0"/>
          <w:bCs/>
          <w:color w:val="000000"/>
          <w:spacing w:val="0"/>
          <w:kern w:val="0"/>
          <w:sz w:val="32"/>
          <w:szCs w:val="32"/>
          <w:lang w:val="en-US" w:eastAsia="zh-CN"/>
        </w:rPr>
        <w:t>政策</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b w:val="0"/>
          <w:bCs/>
          <w:color w:val="000000"/>
          <w:spacing w:val="0"/>
          <w:kern w:val="0"/>
          <w:sz w:val="32"/>
          <w:szCs w:val="32"/>
          <w:lang w:val="en-US" w:eastAsia="zh-CN"/>
        </w:rPr>
        <w:t>大规模设备更新和消费品以旧换新政策。</w:t>
      </w:r>
    </w:p>
    <w:p w14:paraId="63A077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宋体" w:cs="Times New Roman"/>
          <w:b w:val="0"/>
          <w:bCs/>
          <w:color w:val="000000"/>
          <w:kern w:val="0"/>
          <w:sz w:val="32"/>
          <w:szCs w:val="32"/>
          <w:highlight w:val="none"/>
          <w:lang w:val="en-US" w:eastAsia="zh-CN"/>
        </w:rPr>
      </w:pPr>
      <w:r>
        <w:rPr>
          <w:rFonts w:hint="default" w:ascii="Times New Roman" w:hAnsi="Times New Roman" w:eastAsia="仿宋_GB2312" w:cs="Times New Roman"/>
          <w:b w:val="0"/>
          <w:bCs/>
          <w:color w:val="000000"/>
          <w:kern w:val="0"/>
          <w:sz w:val="32"/>
          <w:szCs w:val="32"/>
          <w:highlight w:val="none"/>
          <w:lang w:val="en-US" w:eastAsia="zh-CN"/>
        </w:rPr>
        <w:t>8.农业</w:t>
      </w:r>
      <w:r>
        <w:rPr>
          <w:rFonts w:hint="default" w:ascii="Times New Roman" w:hAnsi="Times New Roman" w:eastAsia="仿宋_GB2312" w:cs="Times New Roman"/>
          <w:sz w:val="32"/>
          <w:szCs w:val="32"/>
          <w:highlight w:val="none"/>
          <w:lang w:val="en-US" w:eastAsia="zh-CN"/>
        </w:rPr>
        <w:t>“三减”：</w:t>
      </w:r>
      <w:r>
        <w:rPr>
          <w:rFonts w:hint="default" w:ascii="Times New Roman" w:hAnsi="Times New Roman" w:eastAsia="仿宋_GB2312" w:cs="Times New Roman"/>
          <w:b w:val="0"/>
          <w:bCs/>
          <w:color w:val="000000"/>
          <w:spacing w:val="0"/>
          <w:kern w:val="0"/>
          <w:sz w:val="32"/>
          <w:szCs w:val="32"/>
          <w:lang w:val="en-US" w:eastAsia="zh-CN"/>
        </w:rPr>
        <w:t>减少化肥使用、减少农药使用和减少除草剂使用。</w:t>
      </w:r>
    </w:p>
    <w:p w14:paraId="1D0323FD">
      <w:pPr>
        <w:pStyle w:val="6"/>
        <w:rPr>
          <w:rFonts w:hint="default" w:ascii="Times New Roman" w:hAnsi="Times New Roman" w:cs="Times New Roman"/>
          <w:lang w:eastAsia="zh-CN"/>
        </w:rPr>
      </w:pPr>
    </w:p>
    <w:p w14:paraId="2318F6A2">
      <w:pPr>
        <w:rPr>
          <w:rFonts w:hint="default" w:ascii="Times New Roman" w:hAnsi="Times New Roman" w:cs="Times New Roman"/>
        </w:rPr>
      </w:pPr>
    </w:p>
    <w:sectPr>
      <w:footerReference r:id="rId5" w:type="default"/>
      <w:pgSz w:w="11906" w:h="16838"/>
      <w:pgMar w:top="1440" w:right="1800" w:bottom="1157" w:left="180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兰亭黑_GBK">
    <w:altName w:val="微软雅黑"/>
    <w:panose1 w:val="02000000000000000000"/>
    <w:charset w:val="00"/>
    <w:family w:val="script"/>
    <w:pitch w:val="default"/>
    <w:sig w:usb0="00000000" w:usb1="00000000" w:usb2="0008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roma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8F844">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6C0E57F">
                          <w:pPr>
                            <w:pStyle w:val="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- 1 -</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s0lY7tAAAAAFAQAADwAAAAAAAAABACAAAAAiAAAAZHJz&#10;L2Rvd25yZXYueG1sUEsBAhQAFAAAAAgAh07iQPWfuI3TAQAApQMAAA4AAAAAAAAAAQAgAAAAHwEA&#10;AGRycy9lMm9Eb2MueG1sUEsFBgAAAAAGAAYAWQEAAGQFAAAAAA==&#10;">
              <v:fill on="f" focussize="0,0"/>
              <v:stroke on="f" weight="0.5pt"/>
              <v:imagedata o:title=""/>
              <o:lock v:ext="edit" aspectratio="f"/>
              <v:textbox inset="0mm,0mm,0mm,0mm" style="mso-fit-shape-to-text:t;">
                <w:txbxContent>
                  <w:p w14:paraId="66C0E57F">
                    <w:pPr>
                      <w:pStyle w:val="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- 1 -</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BF2E1">
    <w:pPr>
      <w:pStyle w:val="4"/>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25277B59">
                          <w:pPr>
                            <w:pStyle w:val="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- 1 -</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NJWO7QAAAABQEAAA8AAAAAAAAAAQAgAAAAIgAAAGRy&#10;cy9kb3ducmV2LnhtbFBLAQIUABQAAAAIAIdO4kCHIGb51AEAAKUDAAAOAAAAAAAAAAEAIAAAAB8B&#10;AABkcnMvZTJvRG9jLnhtbFBLBQYAAAAABgAGAFkBAABlBQAAAAA=&#10;">
              <v:fill on="f" focussize="0,0"/>
              <v:stroke on="f" weight="0.5pt"/>
              <v:imagedata o:title=""/>
              <o:lock v:ext="edit" aspectratio="f"/>
              <v:textbox inset="0mm,0mm,0mm,0mm" style="mso-fit-shape-to-text:t;">
                <w:txbxContent>
                  <w:p w14:paraId="25277B59">
                    <w:pPr>
                      <w:pStyle w:val="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- 1 -</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A7716">
    <w:pPr>
      <w:pStyle w:val="5"/>
      <w:pBdr>
        <w:top w:val="none" w:color="auto" w:sz="0" w:space="0"/>
        <w:left w:val="none" w:color="auto" w:sz="0" w:space="0"/>
        <w:bottom w:val="none" w:color="auto" w:sz="0" w:space="0"/>
        <w:right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533B01"/>
    <w:rsid w:val="06231E4A"/>
    <w:rsid w:val="08FE3EA0"/>
    <w:rsid w:val="0A622F41"/>
    <w:rsid w:val="0C0F6320"/>
    <w:rsid w:val="0D446328"/>
    <w:rsid w:val="0F78264B"/>
    <w:rsid w:val="1A466230"/>
    <w:rsid w:val="1F794085"/>
    <w:rsid w:val="217301AC"/>
    <w:rsid w:val="27362754"/>
    <w:rsid w:val="28F30295"/>
    <w:rsid w:val="2A314283"/>
    <w:rsid w:val="2E364870"/>
    <w:rsid w:val="32FF13C6"/>
    <w:rsid w:val="358C11FE"/>
    <w:rsid w:val="3D1912D6"/>
    <w:rsid w:val="40BF2194"/>
    <w:rsid w:val="40D002BC"/>
    <w:rsid w:val="420460B1"/>
    <w:rsid w:val="45C23317"/>
    <w:rsid w:val="4D5B1CC7"/>
    <w:rsid w:val="4DC70F72"/>
    <w:rsid w:val="52CA1D4B"/>
    <w:rsid w:val="5B332ECE"/>
    <w:rsid w:val="5EEA306B"/>
    <w:rsid w:val="5F51422B"/>
    <w:rsid w:val="60747F1B"/>
    <w:rsid w:val="68141E50"/>
    <w:rsid w:val="69F24F19"/>
    <w:rsid w:val="6BF40694"/>
    <w:rsid w:val="6D0C35DB"/>
    <w:rsid w:val="7A9944E2"/>
    <w:rsid w:val="7B437FDF"/>
    <w:rsid w:val="7B8C26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Times New Roman" w:hAnsi="Times New Roman" w:eastAsia="宋体" w:cs="Times New Roman"/>
      <w:lang w:bidi="ar-SA"/>
    </w:rPr>
  </w:style>
  <w:style w:type="paragraph" w:styleId="3">
    <w:name w:val="toc 3"/>
    <w:basedOn w:val="1"/>
    <w:next w:val="1"/>
    <w:qFormat/>
    <w:uiPriority w:val="0"/>
    <w:pPr>
      <w:ind w:left="400" w:leftChars="400"/>
    </w:pPr>
    <w:rPr>
      <w:rFonts w:ascii="方正兰亭黑_GBK" w:hAnsi="方正兰亭黑_GBK" w:eastAsia="仿宋_GB2312" w:cs="方正兰亭黑_GBK"/>
    </w:rPr>
  </w:style>
  <w:style w:type="paragraph" w:styleId="4">
    <w:name w:val="footer"/>
    <w:basedOn w:val="1"/>
    <w:qFormat/>
    <w:uiPriority w:val="99"/>
    <w:pPr>
      <w:tabs>
        <w:tab w:val="center" w:pos="4153"/>
        <w:tab w:val="right" w:pos="8306"/>
      </w:tabs>
      <w:snapToGrid w:val="0"/>
      <w:jc w:val="left"/>
    </w:pPr>
    <w:rPr>
      <w:sz w:val="18"/>
    </w:rPr>
  </w:style>
  <w:style w:type="paragraph" w:styleId="5">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Title"/>
    <w:basedOn w:val="1"/>
    <w:next w:val="1"/>
    <w:qFormat/>
    <w:uiPriority w:val="0"/>
    <w:pPr>
      <w:widowControl w:val="0"/>
      <w:spacing w:before="240" w:beforeAutospacing="0" w:after="60" w:afterAutospacing="0"/>
      <w:jc w:val="center"/>
      <w:outlineLvl w:val="0"/>
    </w:pPr>
    <w:rPr>
      <w:rFonts w:ascii="Arial" w:hAnsi="Arial" w:eastAsia="宋体" w:cs="Times New Roman"/>
      <w:b/>
      <w:kern w:val="2"/>
      <w:sz w:val="32"/>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8502</Words>
  <Characters>8693</Characters>
  <Lines>0</Lines>
  <Paragraphs>0</Paragraphs>
  <TotalTime>0</TotalTime>
  <ScaleCrop>false</ScaleCrop>
  <LinksUpToDate>false</LinksUpToDate>
  <CharactersWithSpaces>8702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2025-01-01T00:58:00Z</dcterms:created>
  <dc:creator>Lenovo</dc:creator>
  <cp:lastModifiedBy>宝赋</cp:lastModifiedBy>
  <dcterms:modified xsi:type="dcterms:W3CDTF">2025-01-01T05:53:00Z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eyJoZGlkIjoiOTFjMzM1YjFlYzYzYjliZjA2Y2IzMTM3MGVlODgzYjUiLCJ1c2VySWQiOiIyNjY2OTY5NTIifQ==</vt:lpwstr>
  </property>
  <property fmtid="{D5CDD505-2E9C-101B-9397-08002B2CF9AE}" pid="4" name="ICV">
    <vt:lpwstr>CADE0B14DE7742D2A7CCB9C34A56A602_12</vt:lpwstr>
  </property>
</Properties>
</file>