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4A686">
      <w:pPr>
        <w:keepNext w:val="0"/>
        <w:keepLines w:val="0"/>
        <w:pageBreakBefore w:val="0"/>
        <w:kinsoku/>
        <w:wordWrap/>
        <w:overflowPunct/>
        <w:topLinePunct w:val="0"/>
        <w:autoSpaceDE/>
        <w:autoSpaceDN/>
        <w:bidi w:val="0"/>
        <w:adjustRightInd/>
        <w:snapToGrid/>
        <w:spacing w:line="596"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政府工作报告</w:t>
      </w:r>
    </w:p>
    <w:p w14:paraId="174B2893">
      <w:pPr>
        <w:keepNext/>
        <w:keepLines w:val="0"/>
        <w:pageBreakBefore w:val="0"/>
        <w:widowControl w:val="0"/>
        <w:kinsoku/>
        <w:wordWrap/>
        <w:overflowPunct/>
        <w:topLinePunct w:val="0"/>
        <w:autoSpaceDE/>
        <w:autoSpaceDN/>
        <w:bidi w:val="0"/>
        <w:adjustRightInd/>
        <w:snapToGrid/>
        <w:spacing w:before="0" w:beforeAutospacing="0" w:after="0" w:line="580" w:lineRule="exact"/>
        <w:ind w:left="0" w:leftChars="0" w:firstLine="0" w:firstLineChars="0"/>
        <w:jc w:val="center"/>
        <w:textAlignment w:val="auto"/>
        <w:rPr>
          <w:rFonts w:hint="eastAsia" w:ascii="楷体_GB2312" w:hAnsi="楷体_GB2312" w:eastAsia="楷体_GB2312" w:cs="楷体_GB2312"/>
          <w:spacing w:val="11"/>
          <w:sz w:val="36"/>
          <w:szCs w:val="36"/>
          <w:lang w:val="en-US" w:eastAsia="zh-CN"/>
        </w:rPr>
      </w:pPr>
      <w:r>
        <w:rPr>
          <w:rFonts w:hint="eastAsia" w:ascii="楷体_GB2312" w:hAnsi="楷体_GB2312" w:eastAsia="楷体_GB2312" w:cs="楷体_GB2312"/>
          <w:spacing w:val="11"/>
          <w:sz w:val="36"/>
          <w:szCs w:val="36"/>
          <w:lang w:val="en-US" w:eastAsia="zh-CN"/>
        </w:rPr>
        <w:t>——2026年1月13日在宝山区第十一届</w:t>
      </w:r>
    </w:p>
    <w:p w14:paraId="00D34E35">
      <w:pPr>
        <w:keepNext/>
        <w:keepLines w:val="0"/>
        <w:pageBreakBefore w:val="0"/>
        <w:widowControl w:val="0"/>
        <w:kinsoku/>
        <w:wordWrap/>
        <w:overflowPunct/>
        <w:topLinePunct w:val="0"/>
        <w:autoSpaceDE/>
        <w:autoSpaceDN/>
        <w:bidi w:val="0"/>
        <w:adjustRightInd/>
        <w:snapToGrid/>
        <w:spacing w:before="0" w:beforeAutospacing="0" w:after="0" w:line="580" w:lineRule="exact"/>
        <w:ind w:left="0" w:leftChars="0" w:firstLine="0" w:firstLineChars="0"/>
        <w:jc w:val="center"/>
        <w:textAlignment w:val="auto"/>
        <w:rPr>
          <w:rFonts w:hint="eastAsia" w:ascii="楷体_GB2312" w:hAnsi="楷体_GB2312" w:eastAsia="楷体_GB2312" w:cs="楷体_GB2312"/>
          <w:spacing w:val="11"/>
          <w:sz w:val="36"/>
          <w:szCs w:val="36"/>
          <w:lang w:val="en-US" w:eastAsia="zh-CN"/>
        </w:rPr>
      </w:pPr>
      <w:r>
        <w:rPr>
          <w:rFonts w:hint="eastAsia" w:ascii="楷体_GB2312" w:hAnsi="楷体_GB2312" w:eastAsia="楷体_GB2312" w:cs="楷体_GB2312"/>
          <w:spacing w:val="11"/>
          <w:sz w:val="36"/>
          <w:szCs w:val="36"/>
          <w:lang w:val="en-US" w:eastAsia="zh-CN"/>
        </w:rPr>
        <w:t>人民代表大会第五次会议上</w:t>
      </w:r>
    </w:p>
    <w:p w14:paraId="645BAA57">
      <w:pPr>
        <w:keepNext w:val="0"/>
        <w:keepLines w:val="0"/>
        <w:pageBreakBefore w:val="0"/>
        <w:kinsoku/>
        <w:wordWrap/>
        <w:overflowPunct/>
        <w:topLinePunct w:val="0"/>
        <w:autoSpaceDE/>
        <w:autoSpaceDN/>
        <w:bidi w:val="0"/>
        <w:adjustRightInd/>
        <w:snapToGrid/>
        <w:spacing w:line="596" w:lineRule="exact"/>
        <w:jc w:val="center"/>
        <w:textAlignment w:val="auto"/>
        <w:outlineLvl w:val="0"/>
        <w:rPr>
          <w:rFonts w:hint="eastAsia" w:ascii="楷体_GB2312" w:hAnsi="楷体_GB2312" w:eastAsia="楷体_GB2312" w:cs="楷体_GB2312"/>
          <w:color w:val="000000" w:themeColor="text1"/>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宝山区人民政府区长  刘志军</w:t>
      </w:r>
    </w:p>
    <w:p w14:paraId="00FA728A">
      <w:pPr>
        <w:keepNext w:val="0"/>
        <w:keepLines w:val="0"/>
        <w:pageBreakBefore w:val="0"/>
        <w:kinsoku/>
        <w:wordWrap/>
        <w:overflowPunct/>
        <w:topLinePunct w:val="0"/>
        <w:autoSpaceDE/>
        <w:autoSpaceDN/>
        <w:bidi w:val="0"/>
        <w:adjustRightInd/>
        <w:snapToGrid/>
        <w:spacing w:line="592" w:lineRule="exact"/>
        <w:textAlignment w:val="auto"/>
        <w:rPr>
          <w:rFonts w:hint="eastAsia" w:ascii="仿宋_GB2312" w:hAnsi="仿宋_GB2312" w:eastAsia="仿宋_GB2312" w:cs="仿宋_GB2312"/>
          <w:spacing w:val="11"/>
          <w:sz w:val="32"/>
          <w:szCs w:val="32"/>
        </w:rPr>
      </w:pPr>
    </w:p>
    <w:p w14:paraId="1437064A">
      <w:pPr>
        <w:keepNext w:val="0"/>
        <w:keepLines w:val="0"/>
        <w:pageBreakBefore w:val="0"/>
        <w:kinsoku/>
        <w:wordWrap/>
        <w:overflowPunct/>
        <w:topLinePunct w:val="0"/>
        <w:autoSpaceDE/>
        <w:autoSpaceDN/>
        <w:bidi w:val="0"/>
        <w:adjustRightInd/>
        <w:snapToGrid/>
        <w:spacing w:line="592" w:lineRule="exact"/>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各位代表：</w:t>
      </w:r>
    </w:p>
    <w:p w14:paraId="5BC1D485">
      <w:pPr>
        <w:keepNext w:val="0"/>
        <w:keepLines w:val="0"/>
        <w:pageBreakBefore w:val="0"/>
        <w:widowControl w:val="0"/>
        <w:kinsoku/>
        <w:wordWrap/>
        <w:overflowPunct/>
        <w:topLinePunct w:val="0"/>
        <w:autoSpaceDE/>
        <w:autoSpaceDN/>
        <w:bidi w:val="0"/>
        <w:adjustRightInd/>
        <w:snapToGrid/>
        <w:spacing w:line="592" w:lineRule="exact"/>
        <w:ind w:firstLine="684"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现在，我代表区人民政府向大会作工作报告，请予审议。</w:t>
      </w:r>
    </w:p>
    <w:p w14:paraId="6921C5EC">
      <w:pPr>
        <w:keepNext w:val="0"/>
        <w:keepLines w:val="0"/>
        <w:pageBreakBefore w:val="0"/>
        <w:widowControl w:val="0"/>
        <w:kinsoku/>
        <w:wordWrap/>
        <w:overflowPunct/>
        <w:topLinePunct w:val="0"/>
        <w:autoSpaceDE/>
        <w:autoSpaceDN/>
        <w:bidi w:val="0"/>
        <w:adjustRightInd/>
        <w:snapToGrid/>
        <w:spacing w:line="592" w:lineRule="exact"/>
        <w:ind w:firstLine="684" w:firstLineChars="200"/>
        <w:jc w:val="both"/>
        <w:textAlignment w:val="auto"/>
        <w:rPr>
          <w:rFonts w:hint="eastAsia" w:ascii="仿宋_GB2312" w:hAnsi="仿宋_GB2312" w:eastAsia="仿宋_GB2312" w:cs="仿宋_GB2312"/>
          <w:spacing w:val="11"/>
          <w:sz w:val="32"/>
          <w:szCs w:val="32"/>
        </w:rPr>
      </w:pPr>
      <w:r>
        <w:rPr>
          <w:rFonts w:hint="eastAsia" w:ascii="黑体" w:hAnsi="黑体" w:eastAsia="黑体" w:cs="黑体"/>
          <w:spacing w:val="11"/>
          <w:sz w:val="32"/>
          <w:szCs w:val="32"/>
        </w:rPr>
        <w:t>一、“十四五”时期</w:t>
      </w:r>
      <w:r>
        <w:rPr>
          <w:rFonts w:hint="eastAsia" w:ascii="黑体" w:hAnsi="黑体" w:eastAsia="黑体" w:cs="黑体"/>
          <w:spacing w:val="11"/>
          <w:sz w:val="32"/>
          <w:szCs w:val="32"/>
          <w:lang w:val="en-US" w:eastAsia="zh-CN"/>
        </w:rPr>
        <w:t>及</w:t>
      </w:r>
      <w:r>
        <w:rPr>
          <w:rFonts w:hint="default" w:ascii="Times New Roman" w:hAnsi="Times New Roman" w:eastAsia="黑体" w:cs="Times New Roman"/>
          <w:spacing w:val="11"/>
          <w:sz w:val="32"/>
          <w:szCs w:val="32"/>
          <w:lang w:val="en-US" w:eastAsia="zh-CN"/>
        </w:rPr>
        <w:t>2025</w:t>
      </w:r>
      <w:r>
        <w:rPr>
          <w:rFonts w:hint="eastAsia" w:ascii="黑体" w:hAnsi="黑体" w:eastAsia="黑体" w:cs="黑体"/>
          <w:spacing w:val="11"/>
          <w:sz w:val="32"/>
          <w:szCs w:val="32"/>
          <w:lang w:val="en-US" w:eastAsia="zh-CN"/>
        </w:rPr>
        <w:t>年</w:t>
      </w:r>
      <w:r>
        <w:rPr>
          <w:rFonts w:hint="eastAsia" w:ascii="黑体" w:hAnsi="黑体" w:eastAsia="黑体" w:cs="黑体"/>
          <w:spacing w:val="11"/>
          <w:sz w:val="32"/>
          <w:szCs w:val="32"/>
        </w:rPr>
        <w:t>发展成就回顾</w:t>
      </w:r>
    </w:p>
    <w:p w14:paraId="49CE9E09">
      <w:pPr>
        <w:keepNext w:val="0"/>
        <w:keepLines w:val="0"/>
        <w:pageBreakBefore w:val="0"/>
        <w:widowControl/>
        <w:kinsoku/>
        <w:wordWrap/>
        <w:overflowPunct/>
        <w:topLinePunct w:val="0"/>
        <w:autoSpaceDE/>
        <w:autoSpaceDN/>
        <w:bidi w:val="0"/>
        <w:adjustRightInd/>
        <w:snapToGrid/>
        <w:spacing w:line="592" w:lineRule="exact"/>
        <w:ind w:firstLine="684" w:firstLineChars="200"/>
        <w:jc w:val="both"/>
        <w:textAlignment w:val="auto"/>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“十四五”时期，</w:t>
      </w:r>
      <w:r>
        <w:rPr>
          <w:rFonts w:hint="eastAsia" w:ascii="Times New Roman" w:hAnsi="Times New Roman" w:eastAsia="仿宋_GB2312" w:cs="Times New Roman"/>
          <w:spacing w:val="11"/>
          <w:sz w:val="32"/>
          <w:szCs w:val="32"/>
          <w:highlight w:val="none"/>
          <w:lang w:val="en-US" w:eastAsia="zh-CN"/>
        </w:rPr>
        <w:t>在习近平新时代中国特色社会主义思想的指导下，在市委、市政府和区委的正确领导下，在区人大、区政协的监督支持下，我们紧紧依靠广大干部群众，全面履行政府职责，积极应对前所未有的困难和挑战，科学应变、精准施策，</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“十四五”规划确定的主要目标任务基本完成，第二个百年奋斗目标新征程取得良好开局。</w:t>
      </w:r>
    </w:p>
    <w:p w14:paraId="5F26A910">
      <w:pPr>
        <w:keepNext w:val="0"/>
        <w:keepLines w:val="0"/>
        <w:pageBreakBefore w:val="0"/>
        <w:widowControl/>
        <w:numPr>
          <w:ilvl w:val="0"/>
          <w:numId w:val="0"/>
        </w:numPr>
        <w:suppressLineNumbers w:val="0"/>
        <w:kinsoku/>
        <w:wordWrap/>
        <w:overflowPunct/>
        <w:topLinePunct w:val="0"/>
        <w:autoSpaceDE/>
        <w:autoSpaceDN/>
        <w:bidi w:val="0"/>
        <w:adjustRightInd/>
        <w:snapToGrid/>
        <w:spacing w:line="592" w:lineRule="exact"/>
        <w:ind w:firstLine="687" w:firstLineChars="200"/>
        <w:jc w:val="both"/>
        <w:textAlignment w:val="auto"/>
        <w:rPr>
          <w:rFonts w:hint="default" w:ascii="楷体_GB2312" w:hAnsi="楷体_GB2312" w:eastAsia="楷体_GB2312" w:cs="楷体_GB2312"/>
          <w:b/>
          <w:bCs/>
          <w:spacing w:val="11"/>
          <w:sz w:val="32"/>
          <w:szCs w:val="32"/>
          <w:lang w:val="en-US"/>
        </w:rPr>
      </w:pPr>
      <w:r>
        <w:rPr>
          <w:rFonts w:hint="eastAsia" w:ascii="楷体_GB2312" w:hAnsi="楷体_GB2312" w:eastAsia="楷体_GB2312" w:cs="楷体_GB2312"/>
          <w:b/>
          <w:bCs/>
          <w:spacing w:val="11"/>
          <w:sz w:val="32"/>
          <w:szCs w:val="32"/>
          <w:lang w:val="en-US" w:eastAsia="zh-CN"/>
        </w:rPr>
        <w:t>过去五年，我们聚力抓招商、上项目，</w:t>
      </w:r>
      <w:r>
        <w:rPr>
          <w:rFonts w:hint="eastAsia" w:ascii="楷体_GB2312" w:hAnsi="楷体_GB2312" w:eastAsia="楷体_GB2312" w:cs="楷体_GB2312"/>
          <w:b/>
          <w:bCs/>
          <w:spacing w:val="11"/>
          <w:kern w:val="2"/>
          <w:sz w:val="32"/>
          <w:szCs w:val="32"/>
          <w:highlight w:val="none"/>
          <w:lang w:val="en-US" w:eastAsia="zh-CN" w:bidi="ar-SA"/>
        </w:rPr>
        <w:t>发展动能</w:t>
      </w:r>
      <w:r>
        <w:rPr>
          <w:rFonts w:hint="eastAsia" w:ascii="楷体_GB2312" w:hAnsi="楷体_GB2312" w:eastAsia="楷体_GB2312" w:cs="楷体_GB2312"/>
          <w:b/>
          <w:bCs/>
          <w:spacing w:val="11"/>
          <w:kern w:val="2"/>
          <w:sz w:val="32"/>
          <w:szCs w:val="32"/>
          <w:lang w:val="en-US" w:eastAsia="zh-CN" w:bidi="ar-SA"/>
        </w:rPr>
        <w:t>持续增强</w:t>
      </w:r>
      <w:r>
        <w:rPr>
          <w:rFonts w:hint="eastAsia" w:ascii="楷体_GB2312" w:hAnsi="楷体_GB2312" w:eastAsia="楷体_GB2312" w:cs="楷体_GB2312"/>
          <w:b/>
          <w:bCs/>
          <w:spacing w:val="11"/>
          <w:sz w:val="32"/>
          <w:szCs w:val="32"/>
          <w:lang w:val="en-US" w:eastAsia="zh-CN"/>
        </w:rPr>
        <w:t>。</w:t>
      </w:r>
      <w:r>
        <w:rPr>
          <w:rFonts w:hint="eastAsia" w:ascii="仿宋_GB2312" w:hAnsi="仿宋_GB2312" w:eastAsia="仿宋_GB2312" w:cs="仿宋_GB2312"/>
          <w:spacing w:val="11"/>
          <w:sz w:val="32"/>
          <w:szCs w:val="32"/>
          <w:highlight w:val="none"/>
          <w:lang w:val="en-US" w:eastAsia="zh-CN"/>
        </w:rPr>
        <w:t>围绕“</w:t>
      </w:r>
      <w:r>
        <w:rPr>
          <w:rFonts w:hint="default" w:ascii="Times New Roman" w:hAnsi="Times New Roman" w:eastAsia="仿宋_GB2312" w:cs="Times New Roman"/>
          <w:spacing w:val="11"/>
          <w:sz w:val="32"/>
          <w:szCs w:val="32"/>
          <w:highlight w:val="none"/>
          <w:lang w:val="en-US" w:eastAsia="zh-CN"/>
        </w:rPr>
        <w:t>4567</w:t>
      </w:r>
      <w:r>
        <w:rPr>
          <w:rFonts w:hint="eastAsia" w:ascii="仿宋_GB2312" w:hAnsi="仿宋_GB2312" w:eastAsia="仿宋_GB2312" w:cs="仿宋_GB2312"/>
          <w:spacing w:val="11"/>
          <w:sz w:val="32"/>
          <w:szCs w:val="32"/>
          <w:highlight w:val="none"/>
          <w:lang w:val="en-US" w:eastAsia="zh-CN"/>
        </w:rPr>
        <w:t>”产业体系，加大招商引资力度，落地开工</w:t>
      </w:r>
      <w:r>
        <w:rPr>
          <w:rFonts w:hint="eastAsia" w:ascii="仿宋_GB2312" w:hAnsi="仿宋_GB2312" w:eastAsia="仿宋_GB2312" w:cs="仿宋_GB2312"/>
          <w:color w:val="000000" w:themeColor="text1"/>
          <w:spacing w:val="11"/>
          <w:sz w:val="32"/>
          <w:szCs w:val="32"/>
          <w14:textFill>
            <w14:solidFill>
              <w14:schemeClr w14:val="tx1"/>
            </w14:solidFill>
          </w14:textFill>
        </w:rPr>
        <w:t>恒源石灰石深加工</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1"/>
          <w:sz w:val="32"/>
          <w:szCs w:val="32"/>
          <w14:textFill>
            <w14:solidFill>
              <w14:schemeClr w14:val="tx1"/>
            </w14:solidFill>
          </w14:textFill>
        </w:rPr>
        <w:t>沁香鸿白酒生产</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等</w:t>
      </w:r>
      <w:r>
        <w:rPr>
          <w:rFonts w:hint="eastAsia" w:ascii="Times New Roman" w:hAnsi="Times New Roman" w:eastAsia="仿宋_GB2312" w:cs="Times New Roman"/>
          <w:spacing w:val="11"/>
          <w:sz w:val="32"/>
          <w:szCs w:val="32"/>
          <w:highlight w:val="none"/>
          <w:lang w:val="en-US" w:eastAsia="zh-CN"/>
        </w:rPr>
        <w:t>项目43个。累计开复工500万元以上产业项目50个，完成投资25.5亿元。润晋肉牛、翔霖牧业等规模养殖项目投产，养殖业规模不断壮大。隆中、大民等地方煤矿升级改造项目陆续竣工，主导产业进一步壮大升级。10万吨天然石墨、5万吨人造石墨负极材料项目竣工，</w:t>
      </w:r>
      <w:r>
        <w:rPr>
          <w:rFonts w:hint="default" w:ascii="Times New Roman" w:hAnsi="Times New Roman" w:eastAsia="仿宋_GB2312" w:cs="Times New Roman"/>
          <w:spacing w:val="11"/>
          <w:sz w:val="32"/>
          <w:szCs w:val="32"/>
          <w:highlight w:val="none"/>
          <w:lang w:val="en-US" w:eastAsia="zh-CN"/>
        </w:rPr>
        <w:t>3个6兆瓦光伏项目并网发电</w:t>
      </w:r>
      <w:r>
        <w:rPr>
          <w:rFonts w:hint="eastAsia" w:ascii="Times New Roman" w:hAnsi="Times New Roman" w:eastAsia="仿宋_GB2312" w:cs="Times New Roman"/>
          <w:spacing w:val="11"/>
          <w:sz w:val="32"/>
          <w:szCs w:val="32"/>
          <w:highlight w:val="none"/>
          <w:lang w:val="en-US" w:eastAsia="zh-CN"/>
        </w:rPr>
        <w:t>，</w:t>
      </w:r>
      <w:r>
        <w:rPr>
          <w:rFonts w:hint="default" w:ascii="Times New Roman" w:hAnsi="Times New Roman" w:eastAsia="仿宋_GB2312" w:cs="Times New Roman"/>
          <w:spacing w:val="11"/>
          <w:sz w:val="32"/>
          <w:szCs w:val="32"/>
          <w:highlight w:val="none"/>
          <w:lang w:val="en-US" w:eastAsia="zh-CN"/>
        </w:rPr>
        <w:t>新能源、新材料产业实现从无到有</w:t>
      </w:r>
      <w:r>
        <w:rPr>
          <w:rFonts w:hint="eastAsia" w:ascii="Times New Roman" w:hAnsi="Times New Roman" w:eastAsia="仿宋_GB2312" w:cs="Times New Roman"/>
          <w:spacing w:val="11"/>
          <w:sz w:val="32"/>
          <w:szCs w:val="32"/>
          <w:highlight w:val="none"/>
          <w:lang w:val="en-US" w:eastAsia="zh-CN"/>
        </w:rPr>
        <w:t>。</w:t>
      </w:r>
      <w:r>
        <w:rPr>
          <w:rFonts w:hint="eastAsia" w:ascii="仿宋_GB2312" w:hAnsi="仿宋_GB2312" w:eastAsia="仿宋_GB2312" w:cs="仿宋_GB2312"/>
          <w:color w:val="000000" w:themeColor="text1"/>
          <w:spacing w:val="11"/>
          <w:sz w:val="32"/>
          <w:szCs w:val="32"/>
          <w:shd w:val="clear" w:color="auto" w:fill="FFFFFF"/>
          <w:lang w:val="en-US" w:eastAsia="zh-CN"/>
          <w14:textFill>
            <w14:solidFill>
              <w14:schemeClr w14:val="tx1"/>
            </w14:solidFill>
          </w14:textFill>
        </w:rPr>
        <w:t>围绕</w:t>
      </w:r>
      <w:r>
        <w:rPr>
          <w:rFonts w:hint="default" w:ascii="仿宋_GB2312" w:hAnsi="仿宋_GB2312" w:eastAsia="仿宋_GB2312" w:cs="仿宋_GB2312"/>
          <w:color w:val="000000" w:themeColor="text1"/>
          <w:spacing w:val="11"/>
          <w:sz w:val="32"/>
          <w:szCs w:val="32"/>
          <w:shd w:val="clear" w:color="auto" w:fill="FFFFFF"/>
          <w:lang w:val="en-US" w:eastAsia="zh-CN"/>
          <w14:textFill>
            <w14:solidFill>
              <w14:schemeClr w14:val="tx1"/>
            </w14:solidFill>
          </w14:textFill>
        </w:rPr>
        <w:t>国家“两重”“两新”</w:t>
      </w:r>
      <w:r>
        <w:rPr>
          <w:rFonts w:hint="default" w:ascii="Times New Roman" w:hAnsi="Times New Roman" w:eastAsia="仿宋_GB2312" w:cs="Times New Roman"/>
          <w:spacing w:val="11"/>
          <w:sz w:val="32"/>
          <w:szCs w:val="32"/>
          <w:highlight w:val="none"/>
          <w:lang w:val="en-US" w:eastAsia="zh-CN"/>
        </w:rPr>
        <w:t>政策，争取中央预算内投资</w:t>
      </w:r>
      <w:r>
        <w:rPr>
          <w:rFonts w:hint="eastAsia" w:ascii="Times New Roman" w:hAnsi="Times New Roman" w:eastAsia="仿宋_GB2312" w:cs="Times New Roman"/>
          <w:spacing w:val="11"/>
          <w:sz w:val="32"/>
          <w:szCs w:val="32"/>
          <w:highlight w:val="none"/>
          <w:lang w:val="en-US" w:eastAsia="zh-CN"/>
        </w:rPr>
        <w:t>、债券</w:t>
      </w:r>
      <w:r>
        <w:rPr>
          <w:rFonts w:hint="default" w:ascii="Times New Roman" w:hAnsi="Times New Roman" w:eastAsia="仿宋_GB2312" w:cs="Times New Roman"/>
          <w:spacing w:val="11"/>
          <w:sz w:val="32"/>
          <w:szCs w:val="32"/>
          <w:highlight w:val="none"/>
          <w:lang w:val="en-US" w:eastAsia="zh-CN"/>
        </w:rPr>
        <w:t>项目资金</w:t>
      </w:r>
      <w:r>
        <w:rPr>
          <w:rFonts w:hint="eastAsia" w:ascii="Times New Roman" w:hAnsi="Times New Roman" w:eastAsia="仿宋_GB2312" w:cs="Times New Roman"/>
          <w:spacing w:val="11"/>
          <w:sz w:val="32"/>
          <w:szCs w:val="32"/>
          <w:highlight w:val="none"/>
          <w:lang w:val="en-US" w:eastAsia="zh-CN"/>
        </w:rPr>
        <w:t>1.98亿</w:t>
      </w:r>
      <w:r>
        <w:rPr>
          <w:rFonts w:hint="default" w:ascii="Times New Roman" w:hAnsi="Times New Roman" w:eastAsia="仿宋_GB2312" w:cs="Times New Roman"/>
          <w:spacing w:val="11"/>
          <w:sz w:val="32"/>
          <w:szCs w:val="32"/>
          <w:highlight w:val="none"/>
          <w:lang w:val="en-US" w:eastAsia="zh-CN"/>
        </w:rPr>
        <w:t>元</w:t>
      </w:r>
      <w:r>
        <w:rPr>
          <w:rFonts w:hint="eastAsia" w:ascii="Times New Roman" w:hAnsi="Times New Roman" w:eastAsia="仿宋_GB2312" w:cs="Times New Roman"/>
          <w:spacing w:val="11"/>
          <w:sz w:val="32"/>
          <w:szCs w:val="32"/>
          <w:highlight w:val="none"/>
          <w:lang w:val="en-US" w:eastAsia="zh-CN"/>
        </w:rPr>
        <w:t>，开工建设项目8个，城区基础设施更加完善。</w:t>
      </w:r>
    </w:p>
    <w:p w14:paraId="03DC56D2">
      <w:pPr>
        <w:keepNext w:val="0"/>
        <w:keepLines w:val="0"/>
        <w:pageBreakBefore w:val="0"/>
        <w:widowControl w:val="0"/>
        <w:kinsoku/>
        <w:wordWrap/>
        <w:overflowPunct/>
        <w:topLinePunct w:val="0"/>
        <w:autoSpaceDE/>
        <w:autoSpaceDN/>
        <w:bidi w:val="0"/>
        <w:adjustRightInd/>
        <w:snapToGrid/>
        <w:spacing w:line="592" w:lineRule="exact"/>
        <w:ind w:firstLine="687" w:firstLineChars="200"/>
        <w:jc w:val="both"/>
        <w:textAlignment w:val="auto"/>
        <w:rPr>
          <w:rFonts w:hint="eastAsia" w:ascii="Times New Roman" w:hAnsi="Times New Roman" w:eastAsia="仿宋_GB2312" w:cs="Times New Roman"/>
          <w:spacing w:val="11"/>
          <w:sz w:val="32"/>
          <w:szCs w:val="32"/>
          <w:highlight w:val="none"/>
          <w:lang w:val="en-US" w:eastAsia="zh-CN"/>
        </w:rPr>
      </w:pPr>
      <w:r>
        <w:rPr>
          <w:rFonts w:hint="eastAsia" w:ascii="楷体_GB2312" w:hAnsi="楷体_GB2312" w:eastAsia="楷体_GB2312" w:cs="楷体_GB2312"/>
          <w:b/>
          <w:bCs/>
          <w:spacing w:val="11"/>
          <w:sz w:val="32"/>
          <w:szCs w:val="32"/>
        </w:rPr>
        <w:t>过去五年，我们聚力抓运行、调结构，三次产业平稳发展。</w:t>
      </w:r>
      <w:r>
        <w:rPr>
          <w:rFonts w:hint="eastAsia" w:ascii="Times New Roman" w:hAnsi="Times New Roman" w:eastAsia="仿宋_GB2312" w:cs="Times New Roman"/>
          <w:spacing w:val="11"/>
          <w:sz w:val="32"/>
          <w:szCs w:val="32"/>
          <w:highlight w:val="none"/>
          <w:lang w:val="en-US" w:eastAsia="zh-CN"/>
        </w:rPr>
        <w:t>粮食播种面积稳定在45.5万亩以上，种植结构进一步优化，</w:t>
      </w:r>
      <w:r>
        <w:rPr>
          <w:rFonts w:hint="eastAsia" w:ascii="仿宋_GB2312" w:hAnsi="仿宋_GB2312" w:eastAsia="仿宋_GB2312" w:cs="仿宋_GB2312"/>
          <w:spacing w:val="11"/>
          <w:sz w:val="32"/>
          <w:szCs w:val="32"/>
          <w:lang w:val="en-US" w:eastAsia="zh-CN"/>
        </w:rPr>
        <w:t>大豆种植面积较“十四五”初翻了一番。</w:t>
      </w:r>
      <w:r>
        <w:rPr>
          <w:rFonts w:hint="eastAsia" w:ascii="Times New Roman" w:hAnsi="Times New Roman" w:eastAsia="仿宋_GB2312" w:cs="Times New Roman"/>
          <w:spacing w:val="11"/>
          <w:sz w:val="32"/>
          <w:szCs w:val="32"/>
          <w:highlight w:val="none"/>
          <w:lang w:val="en-US" w:eastAsia="zh-CN"/>
        </w:rPr>
        <w:t>特色产业蓬勃发展，果蔬总产量增长82.4%、食用菌产量增长315%、棚室面积增长6%，经济作物规模化、标准化种植迈上新台阶。全区规模化养殖场发展至11家，猪、牛、羊、禽出栏量稳步增长。林蛙养殖、山野菜加工、刺五加代茶饮、北药种植等林下经济产值突破3150万元。利用乡村振兴资金5717万元，实施</w:t>
      </w:r>
      <w:r>
        <w:rPr>
          <w:rFonts w:hint="eastAsia" w:ascii="Times New Roman" w:hAnsi="Times New Roman" w:eastAsia="仿宋_GB2312" w:cs="Times New Roman"/>
          <w:spacing w:val="11"/>
          <w:sz w:val="32"/>
          <w:szCs w:val="32"/>
          <w:rtl w:val="0"/>
          <w:lang w:val="en-US" w:eastAsia="zh-CN"/>
        </w:rPr>
        <w:t>产业项目12个、基础设施项目14个</w:t>
      </w:r>
      <w:r>
        <w:rPr>
          <w:rFonts w:hint="eastAsia" w:ascii="Times New Roman" w:hAnsi="Times New Roman" w:eastAsia="仿宋_GB2312" w:cs="Times New Roman"/>
          <w:spacing w:val="11"/>
          <w:sz w:val="32"/>
          <w:szCs w:val="32"/>
          <w:highlight w:val="none"/>
          <w:lang w:val="en-US" w:eastAsia="zh-CN"/>
        </w:rPr>
        <w:t>。推动农村劳动力转移就业，定向输出劳动力1000余人，农村人均可支配收入从18927元增加到22263元。持续推进7处地方煤矿升级改造，2处煤矿顺利投产。生产煤矿由4处增加到6处，智能化综合管控平台覆盖率和采煤机械化程度达100%，规划总产能提升到390万吨/年。开放型经济水平显著提升，外贸主体数量由1家增至5家，进出口总额年均增长126%。促消费活动丰富多样，社会消费品零售总额增速从1.5%提高到3.7%。</w:t>
      </w:r>
    </w:p>
    <w:p w14:paraId="2A3A6D07">
      <w:pPr>
        <w:keepNext w:val="0"/>
        <w:keepLines w:val="0"/>
        <w:pageBreakBefore w:val="0"/>
        <w:widowControl w:val="0"/>
        <w:kinsoku/>
        <w:wordWrap/>
        <w:overflowPunct/>
        <w:topLinePunct w:val="0"/>
        <w:autoSpaceDE/>
        <w:autoSpaceDN/>
        <w:bidi w:val="0"/>
        <w:adjustRightInd/>
        <w:snapToGrid/>
        <w:spacing w:line="592" w:lineRule="exact"/>
        <w:ind w:firstLine="687" w:firstLineChars="200"/>
        <w:jc w:val="both"/>
        <w:textAlignment w:val="auto"/>
        <w:rPr>
          <w:rFonts w:hint="default" w:ascii="Times New Roman" w:hAnsi="Times New Roman" w:eastAsia="仿宋_GB2312" w:cs="Times New Roman"/>
          <w:spacing w:val="11"/>
          <w:sz w:val="32"/>
          <w:szCs w:val="32"/>
          <w:highlight w:val="none"/>
          <w:lang w:val="en-US" w:eastAsia="zh-CN"/>
        </w:rPr>
      </w:pPr>
      <w:r>
        <w:rPr>
          <w:rFonts w:hint="eastAsia" w:ascii="楷体_GB2312" w:hAnsi="楷体_GB2312" w:eastAsia="楷体_GB2312" w:cs="楷体_GB2312"/>
          <w:b/>
          <w:bCs/>
          <w:spacing w:val="11"/>
          <w:sz w:val="32"/>
          <w:szCs w:val="32"/>
          <w:lang w:val="en-US" w:eastAsia="zh-CN"/>
        </w:rPr>
        <w:t>过去五年，我们聚力抓民生、办实事，社会事业不断进步。</w:t>
      </w:r>
      <w:r>
        <w:rPr>
          <w:rFonts w:hint="eastAsia" w:ascii="Times New Roman" w:hAnsi="Times New Roman" w:eastAsia="仿宋_GB2312" w:cs="Times New Roman"/>
          <w:spacing w:val="11"/>
          <w:sz w:val="32"/>
          <w:szCs w:val="32"/>
          <w:highlight w:val="none"/>
          <w:lang w:val="en-US" w:eastAsia="zh-CN"/>
        </w:rPr>
        <w:t>民生支出占公共财政预算支出比重连续五年超80%。发放各类社会救助金3.3亿元，低保、特困等低收入家庭生活得到有效保障。就业政策更加积极灵活，年均新增就业2100余人、失业再就业2700余人。投入1800余万元完成学校、公办幼儿园和体育基础设施升级，办学条件进一步改善。将10所学校合并成5所，教育资源布局进一步优化。</w:t>
      </w:r>
      <w:r>
        <w:rPr>
          <w:rFonts w:hint="eastAsia" w:ascii="仿宋_GB2312" w:hAnsi="宋体" w:eastAsia="仿宋_GB2312" w:cs="宋体"/>
          <w:color w:val="000000" w:themeColor="text1"/>
          <w:spacing w:val="11"/>
          <w:kern w:val="0"/>
          <w:sz w:val="32"/>
          <w:szCs w:val="32"/>
          <w:highlight w:val="none"/>
          <w:lang w:val="en-US" w:eastAsia="zh-CN"/>
          <w14:textFill>
            <w14:solidFill>
              <w14:schemeClr w14:val="tx1"/>
            </w14:solidFill>
          </w14:textFill>
        </w:rPr>
        <w:t>育人小学获评“全国文明校园”</w:t>
      </w:r>
      <w:r>
        <w:rPr>
          <w:rFonts w:hint="eastAsia" w:ascii="仿宋_GB2312" w:eastAsia="仿宋_GB2312" w:cs="Times New Roman"/>
          <w:color w:val="000000" w:themeColor="text1"/>
          <w:spacing w:val="11"/>
          <w:kern w:val="2"/>
          <w:sz w:val="32"/>
          <w:szCs w:val="32"/>
          <w:highlight w:val="none"/>
          <w:rtl w:val="0"/>
          <w:lang w:val="en-US" w:eastAsia="zh-CN" w:bidi="ar-SA"/>
          <w14:textFill>
            <w14:solidFill>
              <w14:schemeClr w14:val="tx1"/>
            </w14:solidFill>
          </w14:textFill>
        </w:rPr>
        <w:t>等称号</w:t>
      </w:r>
      <w:r>
        <w:rPr>
          <w:rFonts w:hint="eastAsia" w:ascii="仿宋_GB2312" w:hAnsi="宋体" w:eastAsia="仿宋_GB2312" w:cs="宋体"/>
          <w:color w:val="000000" w:themeColor="text1"/>
          <w:spacing w:val="11"/>
          <w:kern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spacing w:val="11"/>
          <w:sz w:val="32"/>
          <w:szCs w:val="32"/>
          <w:highlight w:val="none"/>
          <w:lang w:val="en-US" w:eastAsia="zh-CN"/>
        </w:rPr>
        <w:t>投入2000万元建成区人民医院发热门诊和消防水池，引进CT、DRX光机等设备，120急救宝山分站投入使用，医疗服务能力显著提升。仁和广场居家和社区养老服务中心、新安街道舒心助老驿站建成投用。3项非遗技艺获批省级非遗代表性项目，3人获评省级非遗传承人。</w:t>
      </w:r>
    </w:p>
    <w:p w14:paraId="6CB3AC27">
      <w:pPr>
        <w:keepNext w:val="0"/>
        <w:keepLines w:val="0"/>
        <w:pageBreakBefore w:val="0"/>
        <w:widowControl/>
        <w:suppressLineNumbers w:val="0"/>
        <w:kinsoku/>
        <w:wordWrap/>
        <w:overflowPunct/>
        <w:topLinePunct w:val="0"/>
        <w:autoSpaceDE/>
        <w:autoSpaceDN/>
        <w:bidi w:val="0"/>
        <w:adjustRightInd/>
        <w:snapToGrid/>
        <w:spacing w:line="592" w:lineRule="exact"/>
        <w:ind w:firstLine="687" w:firstLineChars="200"/>
        <w:jc w:val="both"/>
        <w:textAlignment w:val="auto"/>
        <w:rPr>
          <w:rFonts w:hint="eastAsia" w:ascii="仿宋_GB2312" w:hAnsi="仿宋_GB2312" w:eastAsia="仿宋_GB2312" w:cs="仿宋_GB2312"/>
          <w:spacing w:val="11"/>
          <w:sz w:val="32"/>
          <w:szCs w:val="32"/>
          <w:lang w:val="en-US" w:eastAsia="zh-CN"/>
        </w:rPr>
      </w:pPr>
      <w:r>
        <w:rPr>
          <w:rFonts w:hint="eastAsia" w:ascii="楷体_GB2312" w:hAnsi="楷体_GB2312" w:eastAsia="楷体_GB2312" w:cs="楷体_GB2312"/>
          <w:b/>
          <w:bCs/>
          <w:spacing w:val="11"/>
          <w:sz w:val="32"/>
          <w:szCs w:val="32"/>
          <w:lang w:val="en-US" w:eastAsia="zh-CN"/>
        </w:rPr>
        <w:t>过去五年，我们聚力抓提质、补短板，城乡面貌焕然一新。</w:t>
      </w:r>
      <w:r>
        <w:rPr>
          <w:rFonts w:hint="eastAsia" w:ascii="仿宋_GB2312" w:hAnsi="仿宋_GB2312" w:eastAsia="仿宋_GB2312" w:cs="仿宋_GB2312"/>
          <w:spacing w:val="11"/>
          <w:sz w:val="32"/>
          <w:szCs w:val="32"/>
          <w:lang w:val="en-US" w:eastAsia="zh-CN"/>
        </w:rPr>
        <w:t>持续推进“四网”建设，</w:t>
      </w:r>
      <w:r>
        <w:rPr>
          <w:rFonts w:hint="eastAsia" w:ascii="Times New Roman" w:hAnsi="Times New Roman" w:eastAsia="仿宋_GB2312" w:cs="Times New Roman"/>
          <w:spacing w:val="11"/>
          <w:sz w:val="32"/>
          <w:szCs w:val="32"/>
          <w:highlight w:val="none"/>
          <w:lang w:val="en-US" w:eastAsia="zh-CN"/>
        </w:rPr>
        <w:t>投入4622万元完成青山国家森林公园至当壁公路、大叶沟及上游经营所32.6公里道路硬化改建。投入6602万元更新改造泵站34个、供水管线37公里。投入4340万元改造供热老旧管网14.5公里。投入1.93亿元新建矿区污水处理厂5座、改造雨污管网51.3公里、排水沟30公里，城区基础设施更加完善。投入549万元排查房屋安全2.1万栋，围挡危房556栋。持续推进棚改安置工作，区域内安置房源全部安置完毕，实现异地安置682户。累计投入22</w:t>
      </w:r>
      <w:r>
        <w:rPr>
          <w:rFonts w:hint="default" w:ascii="Times New Roman" w:hAnsi="Times New Roman" w:eastAsia="仿宋_GB2312" w:cs="Times New Roman"/>
          <w:spacing w:val="11"/>
          <w:sz w:val="32"/>
          <w:szCs w:val="32"/>
          <w:highlight w:val="none"/>
          <w:lang w:eastAsia="zh-CN"/>
        </w:rPr>
        <w:t>19</w:t>
      </w:r>
      <w:r>
        <w:rPr>
          <w:rFonts w:hint="eastAsia" w:ascii="Times New Roman" w:hAnsi="Times New Roman" w:eastAsia="仿宋_GB2312" w:cs="Times New Roman"/>
          <w:spacing w:val="11"/>
          <w:sz w:val="32"/>
          <w:szCs w:val="32"/>
          <w:highlight w:val="none"/>
          <w:lang w:val="en-US" w:eastAsia="zh-CN"/>
        </w:rPr>
        <w:t>万元深入开展农村人居环境整治工作，购置机械27台（套），新建修缮桥梁8座，改扩建农村主次干道33条，改造2个行政村供水管网19000米，新建预制井70余</w:t>
      </w:r>
      <w:r>
        <w:rPr>
          <w:rFonts w:hint="eastAsia" w:ascii="仿宋_GB2312" w:hAnsi="仿宋_GB2312" w:eastAsia="仿宋_GB2312" w:cs="仿宋_GB2312"/>
          <w:spacing w:val="11"/>
          <w:sz w:val="32"/>
          <w:szCs w:val="32"/>
          <w:lang w:val="en-US" w:eastAsia="zh-CN"/>
        </w:rPr>
        <w:t>座，实现环境“颜值”“内涵”双提升</w:t>
      </w:r>
      <w:r>
        <w:rPr>
          <w:rFonts w:hint="eastAsia" w:ascii="仿宋_GB2312" w:hAnsi="仿宋_GB2312" w:eastAsia="仿宋_GB2312" w:cs="仿宋_GB2312"/>
          <w:color w:val="auto"/>
          <w:spacing w:val="11"/>
          <w:sz w:val="32"/>
          <w:szCs w:val="32"/>
          <w:lang w:val="en-US" w:eastAsia="zh-CN"/>
        </w:rPr>
        <w:t>。</w:t>
      </w:r>
    </w:p>
    <w:p w14:paraId="4B12D087">
      <w:pPr>
        <w:keepNext w:val="0"/>
        <w:keepLines w:val="0"/>
        <w:pageBreakBefore w:val="0"/>
        <w:widowControl w:val="0"/>
        <w:kinsoku/>
        <w:wordWrap/>
        <w:overflowPunct/>
        <w:topLinePunct w:val="0"/>
        <w:autoSpaceDE/>
        <w:autoSpaceDN/>
        <w:bidi w:val="0"/>
        <w:adjustRightInd/>
        <w:snapToGrid/>
        <w:spacing w:line="592" w:lineRule="exact"/>
        <w:ind w:firstLine="687" w:firstLineChars="200"/>
        <w:jc w:val="both"/>
        <w:textAlignment w:val="auto"/>
        <w:rPr>
          <w:rFonts w:hint="default" w:ascii="Times New Roman" w:hAnsi="Times New Roman" w:eastAsia="仿宋_GB2312" w:cs="Times New Roman"/>
          <w:spacing w:val="11"/>
          <w:sz w:val="32"/>
          <w:szCs w:val="32"/>
          <w:highlight w:val="none"/>
          <w:lang w:val="en-US" w:eastAsia="zh-CN"/>
        </w:rPr>
      </w:pPr>
      <w:r>
        <w:rPr>
          <w:rFonts w:hint="eastAsia" w:ascii="楷体_GB2312" w:hAnsi="楷体_GB2312" w:eastAsia="楷体_GB2312" w:cs="楷体_GB2312"/>
          <w:b/>
          <w:bCs/>
          <w:spacing w:val="11"/>
          <w:sz w:val="32"/>
          <w:szCs w:val="32"/>
          <w:lang w:val="en-US" w:eastAsia="zh-CN"/>
        </w:rPr>
        <w:t>过去五年，我们聚力抓生态、优环境，</w:t>
      </w:r>
      <w:r>
        <w:rPr>
          <w:rFonts w:hint="eastAsia" w:ascii="楷体_GB2312" w:hAnsi="楷体_GB2312" w:eastAsia="楷体_GB2312" w:cs="楷体_GB2312"/>
          <w:b/>
          <w:bCs/>
          <w:spacing w:val="11"/>
          <w:kern w:val="2"/>
          <w:sz w:val="32"/>
          <w:szCs w:val="32"/>
          <w:lang w:val="en-US" w:eastAsia="zh-CN" w:bidi="ar-SA"/>
        </w:rPr>
        <w:t>绿色发展底色更亮</w:t>
      </w:r>
      <w:r>
        <w:rPr>
          <w:rFonts w:hint="default" w:ascii="楷体_GB2312" w:hAnsi="楷体_GB2312" w:eastAsia="楷体_GB2312" w:cs="楷体_GB2312"/>
          <w:b/>
          <w:bCs/>
          <w:spacing w:val="11"/>
          <w:kern w:val="2"/>
          <w:sz w:val="32"/>
          <w:szCs w:val="32"/>
          <w:lang w:val="en-US" w:eastAsia="zh-CN" w:bidi="ar-SA"/>
        </w:rPr>
        <w:t>。</w:t>
      </w:r>
      <w:r>
        <w:rPr>
          <w:rFonts w:hint="eastAsia" w:ascii="仿宋_GB2312" w:hAnsi="仿宋_GB2312" w:eastAsia="仿宋_GB2312" w:cs="仿宋_GB2312"/>
          <w:spacing w:val="11"/>
          <w:sz w:val="32"/>
          <w:szCs w:val="32"/>
          <w:lang w:val="en-US" w:eastAsia="zh-CN"/>
        </w:rPr>
        <w:t>完成矿山地质环境治理、废弃白灰厂治理及宝运河生态环境综合整治工程。深入开展“亮剑护绿”专项行动，淘汰燃煤锅</w:t>
      </w:r>
      <w:r>
        <w:rPr>
          <w:rFonts w:hint="eastAsia" w:ascii="Times New Roman" w:hAnsi="Times New Roman" w:eastAsia="仿宋_GB2312" w:cs="Times New Roman"/>
          <w:spacing w:val="11"/>
          <w:sz w:val="32"/>
          <w:szCs w:val="32"/>
          <w:highlight w:val="none"/>
          <w:lang w:val="en-US" w:eastAsia="zh-CN"/>
        </w:rPr>
        <w:t>炉11台，地方煤矿、供热和煤炭洗选企业防扬尘治理实现全覆盖</w:t>
      </w:r>
      <w:r>
        <w:rPr>
          <w:rFonts w:hint="eastAsia" w:ascii="仿宋_GB2312" w:hAnsi="仿宋_GB2312" w:eastAsia="仿宋_GB2312" w:cs="仿宋_GB2312"/>
          <w:spacing w:val="11"/>
          <w:sz w:val="32"/>
          <w:szCs w:val="32"/>
          <w:lang w:val="en-US" w:eastAsia="zh-CN"/>
        </w:rPr>
        <w:t>。秸秆禁烧成效进一步巩固，连续五年实现“零火点”，</w:t>
      </w:r>
      <w:r>
        <w:rPr>
          <w:rFonts w:hint="eastAsia" w:ascii="Times New Roman" w:hAnsi="Times New Roman" w:eastAsia="仿宋_GB2312" w:cs="Times New Roman"/>
          <w:spacing w:val="11"/>
          <w:sz w:val="32"/>
          <w:szCs w:val="32"/>
          <w:highlight w:val="none"/>
          <w:lang w:val="en-US" w:eastAsia="zh-CN"/>
        </w:rPr>
        <w:t>空气质量优良天数比例达96%。加强重点流域水环境监管，完成双鸭山农场污水处理厂提标升级</w:t>
      </w:r>
      <w:r>
        <w:rPr>
          <w:rFonts w:hint="eastAsia" w:ascii="仿宋_GB2312" w:hAnsi="仿宋_GB2312" w:eastAsia="仿宋_GB2312" w:cs="仿宋_GB2312"/>
          <w:spacing w:val="11"/>
          <w:sz w:val="32"/>
          <w:szCs w:val="32"/>
          <w:lang w:val="en-US" w:eastAsia="zh-CN"/>
        </w:rPr>
        <w:t>，入河排污口溯源排查整治成效显著。扎实推进农业“三减”，</w:t>
      </w:r>
      <w:r>
        <w:rPr>
          <w:rFonts w:hint="eastAsia" w:ascii="Times New Roman" w:hAnsi="Times New Roman" w:eastAsia="仿宋_GB2312" w:cs="Times New Roman"/>
          <w:spacing w:val="11"/>
          <w:sz w:val="32"/>
          <w:szCs w:val="32"/>
          <w:highlight w:val="none"/>
          <w:lang w:val="en-US" w:eastAsia="zh-CN"/>
        </w:rPr>
        <w:t>煤矸石综合利用43万吨，工业废渣、医疗废物无害化处理率达100%。新增绿化面积130余公顷，植树62.8万株，生态环境持续改善。</w:t>
      </w:r>
    </w:p>
    <w:p w14:paraId="54EA1665">
      <w:pPr>
        <w:keepNext w:val="0"/>
        <w:keepLines w:val="0"/>
        <w:pageBreakBefore w:val="0"/>
        <w:widowControl w:val="0"/>
        <w:kinsoku/>
        <w:wordWrap/>
        <w:overflowPunct/>
        <w:topLinePunct w:val="0"/>
        <w:autoSpaceDE/>
        <w:autoSpaceDN/>
        <w:bidi w:val="0"/>
        <w:adjustRightInd/>
        <w:snapToGrid/>
        <w:spacing w:line="592" w:lineRule="exact"/>
        <w:ind w:firstLine="687" w:firstLineChars="200"/>
        <w:jc w:val="both"/>
        <w:textAlignment w:val="auto"/>
        <w:rPr>
          <w:rFonts w:hint="default" w:ascii="仿宋_GB2312" w:hAnsi="仿宋_GB2312" w:eastAsia="仿宋_GB2312" w:cs="仿宋_GB2312"/>
          <w:spacing w:val="11"/>
          <w:sz w:val="32"/>
          <w:szCs w:val="32"/>
          <w:lang w:val="en-US" w:eastAsia="zh-CN"/>
        </w:rPr>
      </w:pPr>
      <w:r>
        <w:rPr>
          <w:rFonts w:hint="eastAsia" w:ascii="楷体_GB2312" w:hAnsi="楷体_GB2312" w:eastAsia="楷体_GB2312" w:cs="楷体_GB2312"/>
          <w:b/>
          <w:bCs/>
          <w:spacing w:val="11"/>
          <w:sz w:val="32"/>
          <w:szCs w:val="32"/>
          <w:lang w:val="en-US" w:eastAsia="zh-CN"/>
        </w:rPr>
        <w:t>过去五年，我们聚力抓安全、守底线，社会大局和谐稳定。</w:t>
      </w:r>
      <w:r>
        <w:rPr>
          <w:rFonts w:hint="eastAsia" w:ascii="仿宋_GB2312" w:hAnsi="仿宋_GB2312" w:eastAsia="仿宋_GB2312" w:cs="仿宋_GB2312"/>
          <w:spacing w:val="11"/>
          <w:sz w:val="32"/>
          <w:szCs w:val="32"/>
          <w:lang w:val="en-US" w:eastAsia="zh-CN"/>
        </w:rPr>
        <w:t>“平安宝山”建设扎实推进，社戒社康中心和禁毒教育基地建成使用，全区重点部位和主要路段实现“</w:t>
      </w:r>
      <w:r>
        <w:rPr>
          <w:rFonts w:hint="eastAsia" w:ascii="Times New Roman" w:hAnsi="Times New Roman" w:eastAsia="仿宋_GB2312" w:cs="Times New Roman"/>
          <w:spacing w:val="11"/>
          <w:sz w:val="32"/>
          <w:szCs w:val="32"/>
          <w:highlight w:val="none"/>
          <w:lang w:val="en-US" w:eastAsia="zh-CN"/>
        </w:rPr>
        <w:t>1、3、5</w:t>
      </w:r>
      <w:r>
        <w:rPr>
          <w:rFonts w:hint="eastAsia" w:ascii="仿宋_GB2312" w:hAnsi="仿宋_GB2312" w:eastAsia="仿宋_GB2312" w:cs="仿宋_GB2312"/>
          <w:spacing w:val="11"/>
          <w:sz w:val="32"/>
          <w:szCs w:val="32"/>
          <w:lang w:val="en-US" w:eastAsia="zh-CN"/>
        </w:rPr>
        <w:t>”分钟警情快速反应全覆盖，刑事案件发案总数比“十三五”时期下降</w:t>
      </w:r>
      <w:r>
        <w:rPr>
          <w:rFonts w:hint="eastAsia" w:ascii="Times New Roman" w:hAnsi="Times New Roman" w:eastAsia="仿宋_GB2312" w:cs="Times New Roman"/>
          <w:spacing w:val="11"/>
          <w:sz w:val="32"/>
          <w:szCs w:val="32"/>
          <w:highlight w:val="none"/>
          <w:lang w:val="en-US" w:eastAsia="zh-CN"/>
        </w:rPr>
        <w:t>34.2%。安全生产形势持续稳定向好，危化品、消防等行业领域安全风险管控和隐患排查治理得到加强，非法营运、成品油、绿卫行动等专项治理成效显著。始终保持煤矿等各</w:t>
      </w:r>
      <w:r>
        <w:rPr>
          <w:rFonts w:hint="eastAsia" w:ascii="仿宋_GB2312" w:hAnsi="仿宋_GB2312" w:eastAsia="仿宋_GB2312" w:cs="仿宋_GB2312"/>
          <w:spacing w:val="11"/>
          <w:sz w:val="32"/>
          <w:szCs w:val="32"/>
          <w:lang w:val="en-US" w:eastAsia="zh-CN"/>
        </w:rPr>
        <w:t>领域安全监管高压严管态势，“十四五”期间实现煤矿生产零死亡。众志成城打赢疫情防控阻击战，卫生应急处置能力显著提升。加大矛盾纠纷化解力度，全面推广“六级网格”基层社会治理模式，有效化解信访积</w:t>
      </w:r>
      <w:r>
        <w:rPr>
          <w:rFonts w:hint="eastAsia" w:ascii="Times New Roman" w:hAnsi="Times New Roman" w:eastAsia="仿宋_GB2312" w:cs="Times New Roman"/>
          <w:spacing w:val="11"/>
          <w:sz w:val="32"/>
          <w:szCs w:val="32"/>
          <w:highlight w:val="none"/>
          <w:lang w:val="en-US" w:eastAsia="zh-CN"/>
        </w:rPr>
        <w:t>案62</w:t>
      </w:r>
      <w:r>
        <w:rPr>
          <w:rFonts w:hint="eastAsia" w:ascii="仿宋_GB2312" w:hAnsi="仿宋_GB2312" w:eastAsia="仿宋_GB2312" w:cs="仿宋_GB2312"/>
          <w:spacing w:val="11"/>
          <w:sz w:val="32"/>
          <w:szCs w:val="32"/>
          <w:lang w:val="en-US" w:eastAsia="zh-CN"/>
        </w:rPr>
        <w:t>件，新安街道办事处被授予“全国人民满意的公务员集体”称号。</w:t>
      </w:r>
    </w:p>
    <w:p w14:paraId="2E88569C">
      <w:pPr>
        <w:keepNext w:val="0"/>
        <w:keepLines w:val="0"/>
        <w:pageBreakBefore w:val="0"/>
        <w:widowControl w:val="0"/>
        <w:kinsoku/>
        <w:wordWrap/>
        <w:overflowPunct/>
        <w:topLinePunct w:val="0"/>
        <w:autoSpaceDE/>
        <w:autoSpaceDN/>
        <w:bidi w:val="0"/>
        <w:adjustRightInd/>
        <w:snapToGrid/>
        <w:spacing w:line="592" w:lineRule="exact"/>
        <w:ind w:firstLine="684" w:firstLineChars="200"/>
        <w:jc w:val="both"/>
        <w:textAlignment w:val="auto"/>
        <w:rPr>
          <w:rFonts w:hint="eastAsia" w:ascii="仿宋_GB2312" w:hAnsi="仿宋_GB2312" w:eastAsia="仿宋_GB2312" w:cs="仿宋_GB2312"/>
          <w:color w:val="000000" w:themeColor="text1"/>
          <w:spacing w:val="11"/>
          <w:sz w:val="32"/>
          <w:szCs w:val="32"/>
          <w14:textFill>
            <w14:solidFill>
              <w14:schemeClr w14:val="tx1"/>
            </w14:solidFill>
          </w14:textFill>
        </w:rPr>
      </w:pPr>
      <w:r>
        <w:rPr>
          <w:rFonts w:hint="eastAsia" w:ascii="Times New Roman" w:hAnsi="Times New Roman" w:eastAsia="仿宋_GB2312" w:cs="Times New Roman"/>
          <w:spacing w:val="11"/>
          <w:sz w:val="32"/>
          <w:szCs w:val="32"/>
          <w:highlight w:val="none"/>
          <w:lang w:val="en-US" w:eastAsia="zh-CN"/>
        </w:rPr>
        <w:t>2025</w:t>
      </w:r>
      <w:r>
        <w:rPr>
          <w:rFonts w:hint="eastAsia" w:ascii="仿宋_GB2312" w:hAnsi="仿宋_GB2312" w:eastAsia="仿宋_GB2312" w:cs="仿宋_GB2312"/>
          <w:color w:val="000000" w:themeColor="text1"/>
          <w:spacing w:val="11"/>
          <w:sz w:val="32"/>
          <w:szCs w:val="32"/>
          <w14:textFill>
            <w14:solidFill>
              <w14:schemeClr w14:val="tx1"/>
            </w14:solidFill>
          </w14:textFill>
        </w:rPr>
        <w:t>年是“十四五”规划收官之年，我们聚焦高质量发展首要任务，</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贯彻落实“三个突破年”工作部署，</w:t>
      </w:r>
      <w:r>
        <w:rPr>
          <w:rFonts w:hint="eastAsia" w:ascii="仿宋_GB2312" w:hAnsi="仿宋_GB2312" w:eastAsia="仿宋_GB2312" w:cs="仿宋_GB2312"/>
          <w:color w:val="000000" w:themeColor="text1"/>
          <w:spacing w:val="11"/>
          <w:sz w:val="32"/>
          <w:szCs w:val="32"/>
          <w14:textFill>
            <w14:solidFill>
              <w14:schemeClr w14:val="tx1"/>
            </w14:solidFill>
          </w14:textFill>
        </w:rPr>
        <w:t>全力以赴抓落实、求实效，各项工作圆满收官，为“十五五”发展奠定坚实基础</w:t>
      </w:r>
      <w:r>
        <w:rPr>
          <w:rFonts w:hint="eastAsia" w:ascii="Times New Roman" w:hAnsi="Times New Roman" w:eastAsia="仿宋_GB2312" w:cs="Times New Roman"/>
          <w:spacing w:val="11"/>
          <w:sz w:val="32"/>
          <w:szCs w:val="32"/>
          <w:highlight w:val="none"/>
          <w:lang w:val="en-US" w:eastAsia="zh-CN"/>
        </w:rPr>
        <w:t>。预计地区生产总值增长6%，农林牧渔业总产值增长4%，规模以上工业增加值增长10%，社会消费品零售总额增长4.5%，外贸进出口总值增长51%，固定资产投资下降7%，一般公共预算收入下降31%。</w:t>
      </w:r>
    </w:p>
    <w:p w14:paraId="3BBF5845">
      <w:pPr>
        <w:keepNext w:val="0"/>
        <w:keepLines w:val="0"/>
        <w:pageBreakBefore w:val="0"/>
        <w:widowControl w:val="0"/>
        <w:kinsoku/>
        <w:wordWrap/>
        <w:overflowPunct/>
        <w:topLinePunct w:val="0"/>
        <w:autoSpaceDE/>
        <w:autoSpaceDN/>
        <w:bidi w:val="0"/>
        <w:adjustRightInd/>
        <w:snapToGrid/>
        <w:spacing w:line="592" w:lineRule="exact"/>
        <w:ind w:firstLine="687" w:firstLineChars="200"/>
        <w:jc w:val="both"/>
        <w:textAlignment w:val="auto"/>
        <w:rPr>
          <w:rFonts w:hint="eastAsia" w:ascii="Times New Roman" w:hAnsi="Times New Roman" w:eastAsia="仿宋_GB2312" w:cs="Times New Roman"/>
          <w:spacing w:val="11"/>
          <w:sz w:val="32"/>
          <w:szCs w:val="32"/>
          <w:lang w:val="en-US" w:eastAsia="zh-CN"/>
        </w:rPr>
      </w:pPr>
      <w:r>
        <w:rPr>
          <w:rFonts w:hint="eastAsia" w:ascii="楷体_GB2312" w:hAnsi="楷体_GB2312" w:eastAsia="楷体_GB2312" w:cs="楷体_GB2312"/>
          <w:b/>
          <w:bCs/>
          <w:spacing w:val="11"/>
          <w:sz w:val="32"/>
          <w:szCs w:val="32"/>
          <w:lang w:val="en-US" w:eastAsia="zh-CN"/>
        </w:rPr>
        <w:t>（一）经济建设</w:t>
      </w:r>
      <w:r>
        <w:rPr>
          <w:rFonts w:hint="eastAsia" w:ascii="楷体_GB2312" w:hAnsi="楷体_GB2312" w:eastAsia="楷体_GB2312" w:cs="楷体_GB2312"/>
          <w:b/>
          <w:bCs/>
          <w:spacing w:val="11"/>
          <w:kern w:val="2"/>
          <w:sz w:val="32"/>
          <w:szCs w:val="32"/>
          <w:lang w:val="en-US" w:eastAsia="zh-CN" w:bidi="ar-SA"/>
        </w:rPr>
        <w:t>稳中向好</w:t>
      </w:r>
      <w:r>
        <w:rPr>
          <w:rFonts w:hint="eastAsia" w:ascii="楷体_GB2312" w:hAnsi="楷体_GB2312" w:eastAsia="楷体_GB2312" w:cs="楷体_GB2312"/>
          <w:b/>
          <w:bCs/>
          <w:spacing w:val="11"/>
          <w:sz w:val="32"/>
          <w:szCs w:val="32"/>
          <w:highlight w:val="none"/>
          <w:lang w:val="en-US" w:eastAsia="zh-CN"/>
        </w:rPr>
        <w:t>。</w:t>
      </w:r>
      <w:r>
        <w:rPr>
          <w:rFonts w:hint="eastAsia" w:ascii="仿宋_GB2312" w:hAnsi="仿宋_GB2312" w:eastAsia="仿宋_GB2312" w:cs="仿宋_GB2312"/>
          <w:spacing w:val="11"/>
          <w:sz w:val="32"/>
          <w:szCs w:val="32"/>
          <w:lang w:val="en-US" w:eastAsia="zh-CN"/>
        </w:rPr>
        <w:t>坚持把招商引资和项目建设作为高质量发展“生命线”，积极参加哈洽会、进博会等经贸活动，签约落地项目</w:t>
      </w:r>
      <w:r>
        <w:rPr>
          <w:rFonts w:hint="eastAsia" w:ascii="Times New Roman" w:hAnsi="Times New Roman" w:eastAsia="仿宋_GB2312" w:cs="Times New Roman"/>
          <w:spacing w:val="11"/>
          <w:sz w:val="32"/>
          <w:szCs w:val="32"/>
          <w:lang w:val="en-US" w:eastAsia="zh-CN"/>
        </w:rPr>
        <w:t>7</w:t>
      </w:r>
      <w:r>
        <w:rPr>
          <w:rFonts w:hint="eastAsia" w:ascii="仿宋_GB2312" w:hAnsi="仿宋_GB2312" w:eastAsia="仿宋_GB2312" w:cs="仿宋_GB2312"/>
          <w:spacing w:val="11"/>
          <w:sz w:val="32"/>
          <w:szCs w:val="32"/>
          <w:lang w:val="en-US" w:eastAsia="zh-CN"/>
        </w:rPr>
        <w:t>个，</w:t>
      </w:r>
      <w:r>
        <w:rPr>
          <w:rFonts w:hint="eastAsia" w:ascii="Times New Roman" w:hAnsi="Times New Roman" w:eastAsia="仿宋_GB2312" w:cs="Times New Roman"/>
          <w:spacing w:val="11"/>
          <w:sz w:val="32"/>
          <w:szCs w:val="32"/>
          <w:lang w:val="en-US" w:eastAsia="zh-CN"/>
        </w:rPr>
        <w:t>到位资金8.3亿元。开复工500万元以上产业项目14个，完成投资5.4亿元。金磐水泥制品、隆兴煤矿设备更新等项目竣工，国能8万千瓦光伏复合发电项目取得接网核准批复。隆中煤矿顺利入规，鼎汇饲料销售有限公司纳入限上贸易企业。</w:t>
      </w:r>
      <w:r>
        <w:rPr>
          <w:rFonts w:hint="default" w:ascii="Times New Roman" w:hAnsi="Times New Roman" w:eastAsia="仿宋_GB2312" w:cs="Times New Roman"/>
          <w:spacing w:val="11"/>
          <w:sz w:val="32"/>
          <w:szCs w:val="32"/>
          <w:lang w:val="en-US" w:eastAsia="zh-CN"/>
        </w:rPr>
        <w:t>开展各类促销活动</w:t>
      </w:r>
      <w:r>
        <w:rPr>
          <w:rFonts w:hint="eastAsia" w:ascii="Times New Roman" w:hAnsi="Times New Roman" w:eastAsia="仿宋_GB2312" w:cs="Times New Roman"/>
          <w:spacing w:val="11"/>
          <w:sz w:val="32"/>
          <w:szCs w:val="32"/>
          <w:lang w:val="en-US" w:eastAsia="zh-CN"/>
        </w:rPr>
        <w:t>9</w:t>
      </w:r>
      <w:r>
        <w:rPr>
          <w:rFonts w:hint="default" w:ascii="Times New Roman" w:hAnsi="Times New Roman" w:eastAsia="仿宋_GB2312" w:cs="Times New Roman"/>
          <w:spacing w:val="11"/>
          <w:sz w:val="32"/>
          <w:szCs w:val="32"/>
          <w:lang w:val="en-US" w:eastAsia="zh-CN"/>
        </w:rPr>
        <w:t>场</w:t>
      </w:r>
      <w:r>
        <w:rPr>
          <w:rFonts w:hint="eastAsia" w:ascii="Times New Roman" w:hAnsi="Times New Roman" w:eastAsia="仿宋_GB2312" w:cs="Times New Roman"/>
          <w:spacing w:val="11"/>
          <w:sz w:val="32"/>
          <w:szCs w:val="32"/>
          <w:lang w:val="en-US" w:eastAsia="zh-CN"/>
        </w:rPr>
        <w:t>，助力经营主体纾困解难，有效激发消费市场活力</w:t>
      </w:r>
      <w:r>
        <w:rPr>
          <w:rFonts w:hint="default" w:ascii="Times New Roman" w:hAnsi="Times New Roman" w:eastAsia="仿宋_GB2312" w:cs="Times New Roman"/>
          <w:spacing w:val="11"/>
          <w:sz w:val="32"/>
          <w:szCs w:val="32"/>
          <w:lang w:val="en-US" w:eastAsia="zh-CN"/>
        </w:rPr>
        <w:t>。</w:t>
      </w:r>
    </w:p>
    <w:p w14:paraId="1A51393D">
      <w:pPr>
        <w:keepNext w:val="0"/>
        <w:keepLines w:val="0"/>
        <w:pageBreakBefore w:val="0"/>
        <w:widowControl w:val="0"/>
        <w:kinsoku/>
        <w:wordWrap/>
        <w:overflowPunct/>
        <w:topLinePunct w:val="0"/>
        <w:autoSpaceDE/>
        <w:autoSpaceDN/>
        <w:bidi w:val="0"/>
        <w:adjustRightInd/>
        <w:snapToGrid/>
        <w:spacing w:line="592" w:lineRule="exact"/>
        <w:ind w:firstLine="687" w:firstLineChars="200"/>
        <w:jc w:val="both"/>
        <w:textAlignment w:val="auto"/>
        <w:rPr>
          <w:rFonts w:hint="eastAsia" w:ascii="Times New Roman" w:hAnsi="Times New Roman" w:eastAsia="仿宋_GB2312" w:cs="Times New Roman"/>
          <w:spacing w:val="11"/>
          <w:sz w:val="32"/>
          <w:szCs w:val="32"/>
          <w:lang w:val="en-US" w:eastAsia="zh-CN"/>
        </w:rPr>
      </w:pPr>
      <w:r>
        <w:rPr>
          <w:rFonts w:hint="eastAsia" w:ascii="楷体_GB2312" w:hAnsi="楷体_GB2312" w:eastAsia="楷体_GB2312" w:cs="楷体_GB2312"/>
          <w:b/>
          <w:bCs/>
          <w:spacing w:val="11"/>
          <w:sz w:val="32"/>
          <w:szCs w:val="32"/>
          <w:lang w:val="en-US" w:eastAsia="zh-CN"/>
        </w:rPr>
        <w:t>（二）农业发展步伐坚实。</w:t>
      </w:r>
      <w:r>
        <w:rPr>
          <w:rFonts w:hint="eastAsia" w:ascii="Times New Roman" w:hAnsi="Times New Roman" w:eastAsia="仿宋_GB2312" w:cs="Times New Roman"/>
          <w:spacing w:val="11"/>
          <w:sz w:val="32"/>
          <w:szCs w:val="32"/>
          <w:rtl w:val="0"/>
          <w:lang w:val="en-US" w:eastAsia="zh-CN"/>
        </w:rPr>
        <w:t>坚决扛起保障国家粮食安全政治责任，粮食产量稳定在4.5亿斤，主要农作物良种覆盖率100%。发挥谷实、翔霖等规模养殖场示范引领作用，带动散养户扩大养殖规模，全年牛、羊、生猪出栏7万头。大力发展“鹅”产业，年出栏31.1万羽。食用菌、鲜食玉米等特色产品总产值突破2400万元。深化垦地合作，利用双鸭山农场有限公司大机械和标准化技术完成秋整地1000亩，耕地质量有效提升。争取乡村振兴资金1171万元，实施产业项目5个、基础设施项目3个。</w:t>
      </w:r>
    </w:p>
    <w:p w14:paraId="160E56FB">
      <w:pPr>
        <w:keepNext w:val="0"/>
        <w:keepLines w:val="0"/>
        <w:pageBreakBefore w:val="0"/>
        <w:widowControl w:val="0"/>
        <w:kinsoku/>
        <w:wordWrap/>
        <w:overflowPunct/>
        <w:topLinePunct w:val="0"/>
        <w:autoSpaceDE/>
        <w:autoSpaceDN/>
        <w:bidi w:val="0"/>
        <w:adjustRightInd/>
        <w:snapToGrid/>
        <w:spacing w:line="592" w:lineRule="exact"/>
        <w:ind w:firstLine="687" w:firstLineChars="200"/>
        <w:jc w:val="both"/>
        <w:textAlignment w:val="auto"/>
        <w:rPr>
          <w:rFonts w:hint="eastAsia" w:ascii="楷体_GB2312" w:hAnsi="楷体_GB2312" w:eastAsia="楷体_GB2312" w:cs="楷体_GB2312"/>
          <w:b/>
          <w:bCs/>
          <w:spacing w:val="11"/>
          <w:sz w:val="32"/>
          <w:szCs w:val="32"/>
          <w:lang w:val="en-US" w:eastAsia="zh-CN"/>
        </w:rPr>
      </w:pPr>
      <w:r>
        <w:rPr>
          <w:rFonts w:hint="eastAsia" w:ascii="楷体_GB2312" w:hAnsi="楷体_GB2312" w:eastAsia="楷体_GB2312" w:cs="楷体_GB2312"/>
          <w:b/>
          <w:bCs/>
          <w:spacing w:val="11"/>
          <w:sz w:val="32"/>
          <w:szCs w:val="32"/>
          <w:lang w:val="en-US" w:eastAsia="zh-CN"/>
        </w:rPr>
        <w:t>（三）生态环境大幅改善。</w:t>
      </w:r>
      <w:r>
        <w:rPr>
          <w:rFonts w:hint="eastAsia" w:ascii="仿宋_GB2312" w:hAnsi="仿宋_GB2312" w:eastAsia="仿宋_GB2312" w:cs="仿宋_GB2312"/>
          <w:spacing w:val="11"/>
          <w:sz w:val="32"/>
          <w:szCs w:val="32"/>
          <w:lang w:val="en-US" w:eastAsia="zh-CN"/>
        </w:rPr>
        <w:t>纵深推进蓝天、碧水、净土保卫战，秸秆综合利用率达</w:t>
      </w:r>
      <w:r>
        <w:rPr>
          <w:rFonts w:hint="eastAsia" w:ascii="Times New Roman" w:hAnsi="Times New Roman" w:eastAsia="仿宋_GB2312" w:cs="Times New Roman"/>
          <w:spacing w:val="11"/>
          <w:sz w:val="32"/>
          <w:szCs w:val="32"/>
          <w:lang w:val="en-US" w:eastAsia="zh-CN"/>
        </w:rPr>
        <w:t>91%，扁石河、七星河流域水环境综合整治取得阶段性成效，畜禽粪污综合利用率达85%。扎实推进矿山生态修复与综合治理，煤矸石综合利用32万吨。中央及省级环保督察反馈整改任务按时序推进。年均单位GDP能耗下降3%以上，</w:t>
      </w:r>
      <w:r>
        <w:rPr>
          <w:rFonts w:hint="eastAsia" w:ascii="仿宋_GB2312" w:hAnsi="仿宋_GB2312" w:eastAsia="仿宋_GB2312" w:cs="仿宋_GB2312"/>
          <w:spacing w:val="11"/>
          <w:sz w:val="32"/>
          <w:szCs w:val="32"/>
          <w:lang w:val="en-US" w:eastAsia="zh-CN"/>
        </w:rPr>
        <w:t>政府办公室获评“国家级节约型公共机构示范单位”。</w:t>
      </w:r>
    </w:p>
    <w:p w14:paraId="4D99D7A8">
      <w:pPr>
        <w:keepNext w:val="0"/>
        <w:keepLines w:val="0"/>
        <w:pageBreakBefore w:val="0"/>
        <w:widowControl w:val="0"/>
        <w:kinsoku/>
        <w:wordWrap/>
        <w:overflowPunct/>
        <w:topLinePunct w:val="0"/>
        <w:autoSpaceDE/>
        <w:autoSpaceDN/>
        <w:bidi w:val="0"/>
        <w:adjustRightInd/>
        <w:snapToGrid/>
        <w:spacing w:line="592" w:lineRule="exact"/>
        <w:ind w:firstLine="687" w:firstLineChars="200"/>
        <w:jc w:val="both"/>
        <w:textAlignment w:val="auto"/>
        <w:rPr>
          <w:rFonts w:hint="default" w:ascii="楷体_GB2312" w:hAnsi="楷体_GB2312" w:eastAsia="楷体_GB2312" w:cs="楷体_GB2312"/>
          <w:b/>
          <w:bCs/>
          <w:spacing w:val="11"/>
          <w:sz w:val="32"/>
          <w:szCs w:val="32"/>
          <w:lang w:val="en-US" w:eastAsia="zh-CN"/>
        </w:rPr>
      </w:pPr>
      <w:r>
        <w:rPr>
          <w:rFonts w:hint="eastAsia" w:ascii="楷体_GB2312" w:hAnsi="楷体_GB2312" w:eastAsia="楷体_GB2312" w:cs="楷体_GB2312"/>
          <w:b/>
          <w:bCs/>
          <w:spacing w:val="11"/>
          <w:sz w:val="32"/>
          <w:szCs w:val="32"/>
          <w:lang w:val="en-US" w:eastAsia="zh-CN"/>
        </w:rPr>
        <w:t>（四）民生事业不断进步。</w:t>
      </w:r>
      <w:r>
        <w:rPr>
          <w:rFonts w:hint="eastAsia" w:ascii="Times New Roman" w:hAnsi="Times New Roman" w:eastAsia="仿宋_GB2312" w:cs="Times New Roman"/>
          <w:spacing w:val="11"/>
          <w:kern w:val="2"/>
          <w:sz w:val="32"/>
          <w:szCs w:val="32"/>
          <w:highlight w:val="none"/>
          <w:u w:val="none" w:color="auto"/>
          <w:rtl w:val="0"/>
          <w:lang w:val="en-US" w:eastAsia="zh-CN" w:bidi="ar-SA"/>
        </w:rPr>
        <w:t>举办各类招</w:t>
      </w:r>
      <w:r>
        <w:rPr>
          <w:rFonts w:hint="eastAsia" w:ascii="Times New Roman" w:hAnsi="Times New Roman" w:eastAsia="仿宋_GB2312" w:cs="Times New Roman"/>
          <w:spacing w:val="11"/>
          <w:sz w:val="32"/>
          <w:szCs w:val="32"/>
          <w:rtl w:val="0"/>
          <w:lang w:val="en-US" w:eastAsia="zh-CN"/>
        </w:rPr>
        <w:t>聘培训会36场次，帮助1620人实现新增就业。全面推行区属小学生“四免”政策，惠及学生403人。持续推进基本医疗保险、养老保险参保扩面，参保率稳步提升。推进医疗服务</w:t>
      </w:r>
      <w:r>
        <w:rPr>
          <w:rFonts w:hint="eastAsia" w:ascii="Times New Roman" w:hAnsi="Times New Roman" w:eastAsia="仿宋_GB2312" w:cs="Times New Roman"/>
          <w:color w:val="000000" w:themeColor="text1"/>
          <w:spacing w:val="11"/>
          <w:kern w:val="2"/>
          <w:sz w:val="32"/>
          <w:szCs w:val="32"/>
          <w:highlight w:val="none"/>
          <w:u w:val="none" w:color="auto"/>
          <w:rtl w:val="0"/>
          <w:lang w:val="en-US" w:eastAsia="zh-CN" w:bidi="ar-SA"/>
          <w14:textFill>
            <w14:solidFill>
              <w14:schemeClr w14:val="tx1"/>
            </w14:solidFill>
          </w14:textFill>
        </w:rPr>
        <w:t>“六免四送一延伸”行动，</w:t>
      </w:r>
      <w:r>
        <w:rPr>
          <w:rFonts w:hint="eastAsia" w:ascii="Times New Roman" w:hAnsi="Times New Roman" w:eastAsia="仿宋_GB2312" w:cs="Times New Roman"/>
          <w:spacing w:val="11"/>
          <w:sz w:val="32"/>
          <w:szCs w:val="32"/>
          <w:lang w:val="en-US" w:eastAsia="zh-CN"/>
        </w:rPr>
        <w:t>解决</w:t>
      </w:r>
      <w:r>
        <w:rPr>
          <w:rFonts w:hint="eastAsia" w:ascii="Times New Roman" w:hAnsi="Times New Roman" w:eastAsia="仿宋_GB2312" w:cs="Times New Roman"/>
          <w:spacing w:val="11"/>
          <w:sz w:val="32"/>
          <w:szCs w:val="32"/>
        </w:rPr>
        <w:t>60岁以上老年人</w:t>
      </w:r>
      <w:r>
        <w:rPr>
          <w:rFonts w:hint="eastAsia" w:ascii="Times New Roman" w:hAnsi="Times New Roman" w:eastAsia="仿宋_GB2312" w:cs="Times New Roman"/>
          <w:spacing w:val="11"/>
          <w:sz w:val="32"/>
          <w:szCs w:val="32"/>
          <w:lang w:eastAsia="zh-CN"/>
        </w:rPr>
        <w:t>、</w:t>
      </w:r>
      <w:r>
        <w:rPr>
          <w:rFonts w:hint="eastAsia" w:ascii="Times New Roman" w:hAnsi="Times New Roman" w:eastAsia="仿宋_GB2312" w:cs="Times New Roman"/>
          <w:spacing w:val="11"/>
          <w:sz w:val="32"/>
          <w:szCs w:val="32"/>
          <w:lang w:val="en-US" w:eastAsia="zh-CN"/>
        </w:rPr>
        <w:t>小学生</w:t>
      </w:r>
      <w:r>
        <w:rPr>
          <w:rFonts w:hint="eastAsia" w:ascii="Times New Roman" w:hAnsi="Times New Roman" w:eastAsia="仿宋_GB2312" w:cs="Times New Roman"/>
          <w:spacing w:val="11"/>
          <w:sz w:val="32"/>
          <w:szCs w:val="32"/>
        </w:rPr>
        <w:t>体检、特困群体诊查、尘肺患者康复</w:t>
      </w:r>
      <w:r>
        <w:rPr>
          <w:rFonts w:hint="eastAsia" w:ascii="Times New Roman" w:hAnsi="Times New Roman" w:eastAsia="仿宋_GB2312" w:cs="Times New Roman"/>
          <w:spacing w:val="11"/>
          <w:sz w:val="32"/>
          <w:szCs w:val="32"/>
          <w:lang w:eastAsia="zh-CN"/>
        </w:rPr>
        <w:t>、</w:t>
      </w:r>
      <w:r>
        <w:rPr>
          <w:rFonts w:hint="eastAsia" w:ascii="Times New Roman" w:hAnsi="Times New Roman" w:eastAsia="仿宋_GB2312" w:cs="Times New Roman"/>
          <w:spacing w:val="11"/>
          <w:sz w:val="32"/>
          <w:szCs w:val="32"/>
        </w:rPr>
        <w:t>残疾人体检和康复</w:t>
      </w:r>
      <w:r>
        <w:rPr>
          <w:rFonts w:hint="eastAsia" w:ascii="Times New Roman" w:hAnsi="Times New Roman" w:eastAsia="仿宋_GB2312" w:cs="Times New Roman"/>
          <w:spacing w:val="11"/>
          <w:sz w:val="32"/>
          <w:szCs w:val="32"/>
          <w:lang w:val="en-US" w:eastAsia="zh-CN"/>
        </w:rPr>
        <w:t>等困难</w:t>
      </w:r>
      <w:r>
        <w:rPr>
          <w:rFonts w:hint="eastAsia" w:ascii="Times New Roman" w:hAnsi="Times New Roman" w:eastAsia="仿宋_GB2312" w:cs="Times New Roman"/>
          <w:spacing w:val="11"/>
          <w:sz w:val="32"/>
          <w:szCs w:val="32"/>
          <w:lang w:eastAsia="zh-CN"/>
        </w:rPr>
        <w:t>，</w:t>
      </w:r>
      <w:r>
        <w:rPr>
          <w:rFonts w:hint="eastAsia" w:ascii="Times New Roman" w:hAnsi="Times New Roman" w:eastAsia="仿宋_GB2312" w:cs="Times New Roman"/>
          <w:spacing w:val="11"/>
          <w:sz w:val="32"/>
          <w:szCs w:val="32"/>
          <w:lang w:val="en-US" w:eastAsia="zh-CN"/>
        </w:rPr>
        <w:t>体检7467人，进一步医疗服务78人；</w:t>
      </w:r>
      <w:r>
        <w:rPr>
          <w:rFonts w:hint="eastAsia" w:ascii="Times New Roman" w:hAnsi="Times New Roman" w:eastAsia="仿宋_GB2312" w:cs="Times New Roman"/>
          <w:spacing w:val="11"/>
          <w:sz w:val="32"/>
          <w:szCs w:val="32"/>
          <w:rtl w:val="0"/>
          <w:lang w:val="en-US" w:eastAsia="zh-CN"/>
        </w:rPr>
        <w:t>累计开展“四送一延伸”服务803次、惠及5530人次。新建2家</w:t>
      </w:r>
      <w:r>
        <w:rPr>
          <w:rFonts w:hint="eastAsia" w:ascii="Times New Roman" w:hAnsi="Times New Roman" w:eastAsia="仿宋_GB2312" w:cs="Times New Roman"/>
          <w:color w:val="000000" w:themeColor="text1"/>
          <w:spacing w:val="11"/>
          <w:kern w:val="2"/>
          <w:sz w:val="32"/>
          <w:szCs w:val="32"/>
          <w:highlight w:val="none"/>
          <w:u w:val="none" w:color="auto"/>
          <w:rtl w:val="0"/>
          <w:lang w:val="en-US" w:eastAsia="zh-CN" w:bidi="ar-SA"/>
          <w14:textFill>
            <w14:solidFill>
              <w14:schemeClr w14:val="tx1"/>
            </w14:solidFill>
          </w14:textFill>
        </w:rPr>
        <w:t>社区卫生服务站，有效破解矿区居民“看病难、看病远”问题。</w:t>
      </w:r>
      <w:r>
        <w:rPr>
          <w:rFonts w:hint="eastAsia" w:ascii="Times New Roman" w:hAnsi="Times New Roman" w:eastAsia="仿宋_GB2312" w:cs="Times New Roman"/>
          <w:spacing w:val="11"/>
          <w:kern w:val="2"/>
          <w:sz w:val="32"/>
          <w:szCs w:val="32"/>
          <w:highlight w:val="none"/>
          <w:u w:val="none" w:color="auto"/>
          <w:rtl w:val="0"/>
          <w:lang w:val="en-US" w:eastAsia="zh-CN" w:bidi="ar-SA"/>
        </w:rPr>
        <w:t>新建900平方米残疾人医疗服务中心，增设运动拉伸、推拿按摩等诊疗室8个，实现残疾人康复需求全满足。新建、改建群众活动中心32处，实现社区全覆盖。聚焦低保、特困等重点群体，足额发放各类保障金6562.8万元，切实兜牢民生底线。推出</w:t>
      </w:r>
      <w:r>
        <w:rPr>
          <w:rFonts w:hint="eastAsia" w:ascii="仿宋_GB2312" w:hAnsi="仿宋_GB2312" w:eastAsia="仿宋_GB2312" w:cs="仿宋_GB2312"/>
          <w:spacing w:val="11"/>
          <w:kern w:val="2"/>
          <w:sz w:val="32"/>
          <w:szCs w:val="40"/>
          <w:lang w:val="en-US" w:eastAsia="zh-CN" w:bidi="ar-SA"/>
        </w:rPr>
        <w:t>“红色义工”“两阳工程”</w:t>
      </w:r>
      <w:r>
        <w:rPr>
          <w:rFonts w:hint="eastAsia" w:ascii="仿宋_GB2312" w:hAnsi="仿宋_GB2312" w:eastAsia="仿宋_GB2312" w:cs="仿宋_GB2312"/>
          <w:i w:val="0"/>
          <w:iCs w:val="0"/>
          <w:caps w:val="0"/>
          <w:color w:val="auto"/>
          <w:spacing w:val="11"/>
          <w:kern w:val="0"/>
          <w:sz w:val="32"/>
          <w:szCs w:val="32"/>
          <w:shd w:val="clear" w:fill="FFFFFF"/>
          <w:lang w:val="en-US" w:eastAsia="zh-CN" w:bidi="ar"/>
        </w:rPr>
        <w:t>“一社一品”</w:t>
      </w:r>
      <w:r>
        <w:rPr>
          <w:rFonts w:hint="default" w:ascii="Times New Roman" w:hAnsi="Times New Roman" w:eastAsia="仿宋_GB2312" w:cs="Times New Roman"/>
          <w:color w:val="auto"/>
          <w:spacing w:val="11"/>
          <w:sz w:val="32"/>
          <w:szCs w:val="32"/>
          <w:highlight w:val="none"/>
          <w:u w:val="none"/>
          <w:lang w:val="en-US" w:eastAsia="zh-CN"/>
        </w:rPr>
        <w:t>等基层实践创新</w:t>
      </w:r>
      <w:r>
        <w:rPr>
          <w:rFonts w:hint="eastAsia" w:ascii="Times New Roman" w:hAnsi="Times New Roman" w:eastAsia="仿宋_GB2312" w:cs="Times New Roman"/>
          <w:color w:val="auto"/>
          <w:spacing w:val="11"/>
          <w:sz w:val="32"/>
          <w:szCs w:val="32"/>
          <w:highlight w:val="none"/>
          <w:u w:val="none"/>
          <w:lang w:val="en-US" w:eastAsia="zh-CN"/>
        </w:rPr>
        <w:t>，</w:t>
      </w:r>
      <w:r>
        <w:rPr>
          <w:rFonts w:hint="eastAsia" w:ascii="仿宋_GB2312" w:hAnsi="仿宋_GB2312" w:eastAsia="仿宋_GB2312" w:cs="仿宋_GB2312"/>
          <w:spacing w:val="11"/>
          <w:kern w:val="2"/>
          <w:sz w:val="32"/>
          <w:szCs w:val="40"/>
          <w:lang w:val="en-US" w:eastAsia="zh-CN" w:bidi="ar-SA"/>
        </w:rPr>
        <w:t>跃进街道宏顺社区经验做法在中央《社区》杂志和中央社会工作部刊发报道，为全省基层治理现代化提供“宝山方案”。</w:t>
      </w:r>
    </w:p>
    <w:p w14:paraId="305A96BA">
      <w:pPr>
        <w:keepNext w:val="0"/>
        <w:keepLines w:val="0"/>
        <w:pageBreakBefore w:val="0"/>
        <w:widowControl w:val="0"/>
        <w:kinsoku/>
        <w:wordWrap/>
        <w:overflowPunct/>
        <w:topLinePunct w:val="0"/>
        <w:autoSpaceDE/>
        <w:autoSpaceDN/>
        <w:bidi w:val="0"/>
        <w:adjustRightInd/>
        <w:snapToGrid/>
        <w:spacing w:line="592" w:lineRule="exact"/>
        <w:ind w:firstLine="687" w:firstLineChars="200"/>
        <w:jc w:val="both"/>
        <w:textAlignment w:val="auto"/>
        <w:rPr>
          <w:rFonts w:hint="default" w:ascii="楷体_GB2312" w:hAnsi="楷体_GB2312" w:eastAsia="楷体_GB2312" w:cs="楷体_GB2312"/>
          <w:b/>
          <w:bCs/>
          <w:spacing w:val="11"/>
          <w:sz w:val="32"/>
          <w:szCs w:val="32"/>
          <w:lang w:val="en-US" w:eastAsia="zh-CN"/>
        </w:rPr>
      </w:pPr>
      <w:r>
        <w:rPr>
          <w:rFonts w:hint="eastAsia" w:ascii="楷体_GB2312" w:hAnsi="楷体_GB2312" w:eastAsia="楷体_GB2312" w:cs="楷体_GB2312"/>
          <w:b/>
          <w:bCs/>
          <w:spacing w:val="11"/>
          <w:sz w:val="32"/>
          <w:szCs w:val="32"/>
          <w:lang w:val="en-US" w:eastAsia="zh-CN"/>
        </w:rPr>
        <w:t>（五）城区品质显著提升。</w:t>
      </w:r>
      <w:r>
        <w:rPr>
          <w:rFonts w:hint="eastAsia" w:ascii="Times New Roman" w:hAnsi="Times New Roman" w:eastAsia="仿宋_GB2312" w:cs="Times New Roman"/>
          <w:spacing w:val="11"/>
          <w:sz w:val="32"/>
          <w:szCs w:val="32"/>
          <w:lang w:val="en-US" w:eastAsia="zh-CN"/>
        </w:rPr>
        <w:t>投入608万元对3个热源厂、14个换热站及供热管线开展全链条排查养护，有力保障冬季供暖安全稳定。持续推进排水、污水管网升级，改造雨水管线15公里、污水管线1.3公里，城区防洪排涝能力显著增强。投入480余万元修复破损路面2400平方米、改造桥梁5座，切实保障群众出行安全。投入77万元完成主城区重点道路标</w:t>
      </w:r>
      <w:r>
        <w:rPr>
          <w:rFonts w:hint="eastAsia" w:ascii="仿宋_GB2312" w:hAnsi="仿宋_GB2312" w:eastAsia="仿宋_GB2312" w:cs="仿宋_GB2312"/>
          <w:spacing w:val="11"/>
          <w:sz w:val="32"/>
          <w:szCs w:val="32"/>
          <w:lang w:val="en-US" w:eastAsia="zh-CN"/>
        </w:rPr>
        <w:t>线施划，交通标识和便民路牌更新更换。新增免</w:t>
      </w:r>
      <w:r>
        <w:rPr>
          <w:rFonts w:hint="eastAsia" w:ascii="Times New Roman" w:hAnsi="Times New Roman" w:eastAsia="仿宋_GB2312" w:cs="Times New Roman"/>
          <w:spacing w:val="11"/>
          <w:sz w:val="32"/>
          <w:szCs w:val="32"/>
          <w:lang w:val="en-US" w:eastAsia="zh-CN"/>
        </w:rPr>
        <w:t>费停车区域3600平方米，开放单位内部停车场3300平方米，停车难问题得到有效解决。维修更换路灯、景观灯等各类灯具2000余盏，照明时间由5.5小时延长至7.5小时，打造亮化景观区7000平方米、景观带1000平方米，全面实</w:t>
      </w:r>
      <w:r>
        <w:rPr>
          <w:rFonts w:hint="eastAsia" w:ascii="仿宋_GB2312" w:hAnsi="仿宋_GB2312" w:eastAsia="仿宋_GB2312" w:cs="仿宋_GB2312"/>
          <w:spacing w:val="11"/>
          <w:sz w:val="32"/>
          <w:szCs w:val="32"/>
          <w:lang w:val="en-US" w:eastAsia="zh-CN"/>
        </w:rPr>
        <w:t>现“四亮”目标。</w:t>
      </w:r>
    </w:p>
    <w:p w14:paraId="687C020D">
      <w:pPr>
        <w:keepNext w:val="0"/>
        <w:keepLines w:val="0"/>
        <w:pageBreakBefore w:val="0"/>
        <w:widowControl w:val="0"/>
        <w:kinsoku/>
        <w:wordWrap/>
        <w:overflowPunct/>
        <w:topLinePunct w:val="0"/>
        <w:autoSpaceDE/>
        <w:autoSpaceDN/>
        <w:bidi w:val="0"/>
        <w:adjustRightInd/>
        <w:snapToGrid/>
        <w:spacing w:line="592" w:lineRule="exact"/>
        <w:ind w:firstLine="687" w:firstLineChars="200"/>
        <w:jc w:val="both"/>
        <w:textAlignment w:val="auto"/>
        <w:rPr>
          <w:rFonts w:hint="default" w:ascii="仿宋_GB2312" w:eastAsia="仿宋_GB2312" w:cs="Times New Roman"/>
          <w:spacing w:val="11"/>
          <w:kern w:val="2"/>
          <w:sz w:val="32"/>
          <w:szCs w:val="32"/>
          <w:lang w:val="en-US" w:eastAsia="zh-CN" w:bidi="ar-SA"/>
        </w:rPr>
      </w:pPr>
      <w:r>
        <w:rPr>
          <w:rFonts w:hint="eastAsia" w:ascii="楷体_GB2312" w:hAnsi="楷体_GB2312" w:eastAsia="楷体_GB2312" w:cs="楷体_GB2312"/>
          <w:b/>
          <w:bCs/>
          <w:spacing w:val="11"/>
          <w:sz w:val="32"/>
          <w:szCs w:val="32"/>
          <w:lang w:val="en-US" w:eastAsia="zh-CN"/>
        </w:rPr>
        <w:t>（六）社会治理精准有力。</w:t>
      </w:r>
      <w:r>
        <w:rPr>
          <w:rFonts w:hint="eastAsia" w:ascii="仿宋_GB2312" w:hAnsi="仿宋_GB2312" w:eastAsia="仿宋_GB2312" w:cs="仿宋_GB2312"/>
          <w:spacing w:val="11"/>
          <w:sz w:val="32"/>
          <w:szCs w:val="32"/>
          <w:lang w:val="en-US" w:eastAsia="zh-CN"/>
        </w:rPr>
        <w:t>坚持底线思维，常态化抓好森林防火、防汛抗灾等应急管理工作，聚焦煤矿、非煤矿山、城镇燃气、道路交通等重点领域，深入开展安全隐患排查整治，全年未发生较大以上安全生产事故。高效推进信访工作，严格落实“三到位一处理”原则，化解信访事</w:t>
      </w:r>
      <w:r>
        <w:rPr>
          <w:rFonts w:hint="eastAsia" w:ascii="Times New Roman" w:hAnsi="Times New Roman" w:eastAsia="仿宋_GB2312" w:cs="Times New Roman"/>
          <w:spacing w:val="11"/>
          <w:sz w:val="32"/>
          <w:szCs w:val="32"/>
          <w:lang w:val="en-US" w:eastAsia="zh-CN"/>
        </w:rPr>
        <w:t>项23件次，中央巡视移交下交信访事项清零，信访综合考评进入全省优秀梯队。持续优化社会治安环境，全年破获刑事案件35起，刑事案件发案数同比下降43.9%，</w:t>
      </w:r>
      <w:r>
        <w:rPr>
          <w:rFonts w:hint="eastAsia" w:ascii="仿宋_GB2312" w:hAnsi="仿宋_GB2312" w:eastAsia="仿宋_GB2312" w:cs="仿宋_GB2312"/>
          <w:spacing w:val="11"/>
          <w:sz w:val="32"/>
          <w:szCs w:val="32"/>
          <w:lang w:val="en-US" w:eastAsia="zh-CN"/>
        </w:rPr>
        <w:t>社会治安秩序持续向好。</w:t>
      </w:r>
    </w:p>
    <w:p w14:paraId="70EBC7F3">
      <w:pPr>
        <w:keepNext w:val="0"/>
        <w:keepLines w:val="0"/>
        <w:pageBreakBefore w:val="0"/>
        <w:widowControl w:val="0"/>
        <w:kinsoku/>
        <w:wordWrap/>
        <w:overflowPunct/>
        <w:topLinePunct w:val="0"/>
        <w:autoSpaceDE/>
        <w:autoSpaceDN/>
        <w:bidi w:val="0"/>
        <w:adjustRightInd/>
        <w:snapToGrid/>
        <w:spacing w:line="592" w:lineRule="exact"/>
        <w:ind w:firstLine="687" w:firstLineChars="200"/>
        <w:jc w:val="both"/>
        <w:textAlignment w:val="auto"/>
        <w:rPr>
          <w:rFonts w:hint="default" w:ascii="Times New Roman" w:hAnsi="Times New Roman" w:eastAsia="仿宋_GB2312" w:cs="Times New Roman"/>
          <w:spacing w:val="11"/>
          <w:sz w:val="32"/>
          <w:szCs w:val="32"/>
          <w:highlight w:val="none"/>
          <w:lang w:val="en-US" w:eastAsia="zh-CN"/>
        </w:rPr>
      </w:pPr>
      <w:r>
        <w:rPr>
          <w:rFonts w:hint="eastAsia" w:ascii="楷体_GB2312" w:hAnsi="楷体_GB2312" w:eastAsia="楷体_GB2312" w:cs="楷体_GB2312"/>
          <w:b/>
          <w:bCs/>
          <w:spacing w:val="11"/>
          <w:sz w:val="32"/>
          <w:szCs w:val="32"/>
          <w:lang w:val="en-US" w:eastAsia="zh-CN"/>
        </w:rPr>
        <w:t>（七）政府建设全面加强。</w:t>
      </w:r>
      <w:r>
        <w:rPr>
          <w:rFonts w:hint="eastAsia" w:ascii="仿宋_GB2312" w:eastAsia="仿宋_GB2312" w:cs="Times New Roman"/>
          <w:spacing w:val="11"/>
          <w:kern w:val="2"/>
          <w:sz w:val="32"/>
          <w:szCs w:val="32"/>
          <w:lang w:val="en-US" w:eastAsia="zh-CN" w:bidi="ar-SA"/>
        </w:rPr>
        <w:t>始终把办好民生实事贯穿群众身边不正之风和腐败问题集中整治全过程，聚焦群众急难愁盼，以“四大工程、十一项行动、四十件民生实事”为统领，重点更新改造城市基础设施、整治环境卫生、完善社区服务功能、提升教育医疗服务水平、消除C、D级危房安全等隐患，让百姓有感可及，居民获得感、幸福感更浓。</w:t>
      </w:r>
      <w:r>
        <w:rPr>
          <w:rFonts w:hint="eastAsia" w:ascii="仿宋_GB2312" w:hAnsi="仿宋_GB2312" w:eastAsia="仿宋_GB2312" w:cs="仿宋_GB2312"/>
          <w:spacing w:val="11"/>
          <w:sz w:val="32"/>
          <w:szCs w:val="32"/>
          <w:lang w:val="en-US" w:eastAsia="zh-CN"/>
        </w:rPr>
        <w:t>举办“政商沙龙”活</w:t>
      </w:r>
      <w:r>
        <w:rPr>
          <w:rFonts w:hint="eastAsia" w:ascii="Times New Roman" w:hAnsi="Times New Roman" w:eastAsia="仿宋_GB2312" w:cs="Times New Roman"/>
          <w:spacing w:val="11"/>
          <w:sz w:val="32"/>
          <w:szCs w:val="32"/>
          <w:lang w:val="en-US" w:eastAsia="zh-CN"/>
        </w:rPr>
        <w:t>动27场，协调解决汇源煤矿融资等企业诉求80件</w:t>
      </w:r>
      <w:r>
        <w:rPr>
          <w:rFonts w:hint="eastAsia" w:ascii="仿宋_GB2312" w:hAnsi="仿宋_GB2312" w:eastAsia="仿宋_GB2312" w:cs="仿宋_GB2312"/>
          <w:spacing w:val="11"/>
          <w:sz w:val="32"/>
          <w:szCs w:val="32"/>
          <w:lang w:val="en-US" w:eastAsia="zh-CN"/>
        </w:rPr>
        <w:t>，营商环境不断优化。自觉接受人大依法监督、政协民主监督，各级人大代表建议、政协委员提案答复率、满意</w:t>
      </w:r>
      <w:r>
        <w:rPr>
          <w:rFonts w:hint="eastAsia" w:ascii="Times New Roman" w:hAnsi="Times New Roman" w:eastAsia="仿宋_GB2312" w:cs="Times New Roman"/>
          <w:spacing w:val="11"/>
          <w:sz w:val="32"/>
          <w:szCs w:val="32"/>
          <w:lang w:val="en-US" w:eastAsia="zh-CN"/>
        </w:rPr>
        <w:t>率均达100%。</w:t>
      </w:r>
      <w:r>
        <w:rPr>
          <w:rFonts w:hint="eastAsia" w:ascii="仿宋_GB2312" w:hAnsi="仿宋_GB2312" w:eastAsia="仿宋_GB2312" w:cs="仿宋_GB2312"/>
          <w:spacing w:val="11"/>
          <w:sz w:val="32"/>
          <w:szCs w:val="32"/>
          <w:lang w:val="en-US" w:eastAsia="zh-CN"/>
        </w:rPr>
        <w:t>严格落实中央八项规定及其实施细则精神，驰而不息纠治“四风”。坚持政府过“紧日子”，严控一般性支出，财政资金使用效益持续提升。</w:t>
      </w:r>
    </w:p>
    <w:p w14:paraId="3140C6C3">
      <w:pPr>
        <w:keepNext w:val="0"/>
        <w:keepLines w:val="0"/>
        <w:pageBreakBefore w:val="0"/>
        <w:widowControl w:val="0"/>
        <w:kinsoku/>
        <w:wordWrap/>
        <w:overflowPunct/>
        <w:topLinePunct w:val="0"/>
        <w:autoSpaceDE/>
        <w:autoSpaceDN/>
        <w:bidi w:val="0"/>
        <w:adjustRightInd/>
        <w:snapToGrid/>
        <w:spacing w:line="592" w:lineRule="exact"/>
        <w:ind w:firstLine="684" w:firstLineChars="200"/>
        <w:jc w:val="both"/>
        <w:textAlignment w:val="auto"/>
        <w:rPr>
          <w:rFonts w:hint="eastAsia" w:ascii="仿宋_GB2312" w:hAnsi="仿宋_GB2312" w:eastAsia="仿宋_GB2312" w:cs="仿宋_GB2312"/>
          <w:spacing w:val="11"/>
          <w:sz w:val="32"/>
          <w:szCs w:val="32"/>
        </w:rPr>
      </w:pPr>
      <w:r>
        <w:rPr>
          <w:rFonts w:hint="default" w:ascii="Times New Roman" w:hAnsi="Times New Roman" w:eastAsia="仿宋_GB2312" w:cs="Times New Roman"/>
          <w:spacing w:val="11"/>
          <w:sz w:val="32"/>
          <w:szCs w:val="32"/>
          <w:highlight w:val="none"/>
          <w:lang w:val="en-US" w:eastAsia="zh-CN"/>
        </w:rPr>
        <w:t>在民族宗教、国防动员、外事侨务、妇女儿童、审计、统计、双拥、慈善、金融等方面也取得了长足发展和进步。</w:t>
      </w:r>
    </w:p>
    <w:p w14:paraId="2E1394DD">
      <w:pPr>
        <w:keepNext w:val="0"/>
        <w:keepLines w:val="0"/>
        <w:pageBreakBefore w:val="0"/>
        <w:widowControl w:val="0"/>
        <w:kinsoku/>
        <w:wordWrap/>
        <w:overflowPunct/>
        <w:topLinePunct w:val="0"/>
        <w:autoSpaceDE/>
        <w:autoSpaceDN/>
        <w:bidi w:val="0"/>
        <w:adjustRightInd/>
        <w:snapToGrid/>
        <w:spacing w:line="592" w:lineRule="exact"/>
        <w:ind w:firstLine="684" w:firstLineChars="200"/>
        <w:jc w:val="both"/>
        <w:textAlignment w:val="auto"/>
        <w:rPr>
          <w:rFonts w:hint="default" w:ascii="Times New Roman" w:hAnsi="Times New Roman" w:eastAsia="仿宋_GB2312" w:cs="Times New Roman"/>
          <w:spacing w:val="11"/>
          <w:sz w:val="32"/>
          <w:szCs w:val="32"/>
          <w:highlight w:val="none"/>
          <w:lang w:val="en-US" w:eastAsia="zh-CN"/>
        </w:rPr>
      </w:pPr>
      <w:r>
        <w:rPr>
          <w:rFonts w:hint="eastAsia" w:ascii="仿宋_GB2312" w:hAnsi="仿宋_GB2312" w:eastAsia="仿宋_GB2312" w:cs="仿宋_GB2312"/>
          <w:spacing w:val="11"/>
          <w:sz w:val="32"/>
          <w:szCs w:val="32"/>
        </w:rPr>
        <w:t>各位代表，“十四五”时期成就来之不易，这根本在</w:t>
      </w:r>
      <w:r>
        <w:rPr>
          <w:rFonts w:hint="eastAsia" w:ascii="Times New Roman" w:hAnsi="Times New Roman" w:eastAsia="仿宋_GB2312" w:cs="Times New Roman"/>
          <w:spacing w:val="11"/>
          <w:sz w:val="32"/>
          <w:szCs w:val="32"/>
          <w:highlight w:val="none"/>
          <w:lang w:val="en-US" w:eastAsia="zh-CN"/>
        </w:rPr>
        <w:t>于习近平总书记领航掌舵和习近平新时代中国特色社会主义思想的科学指引，是市委、市政府和区委坚强领导的结果，是全区人民团结奋斗的结果。在此，我代表区人民政府，</w:t>
      </w:r>
      <w:r>
        <w:rPr>
          <w:rFonts w:hint="default" w:ascii="Times New Roman" w:hAnsi="Times New Roman" w:eastAsia="仿宋_GB2312" w:cs="Times New Roman"/>
          <w:spacing w:val="11"/>
          <w:sz w:val="32"/>
          <w:szCs w:val="32"/>
          <w:highlight w:val="none"/>
          <w:lang w:val="en-US" w:eastAsia="zh-CN"/>
        </w:rPr>
        <w:t>向所有关心、支持和投身</w:t>
      </w:r>
      <w:r>
        <w:rPr>
          <w:rFonts w:hint="eastAsia" w:ascii="Times New Roman" w:hAnsi="Times New Roman" w:eastAsia="仿宋_GB2312" w:cs="Times New Roman"/>
          <w:spacing w:val="11"/>
          <w:sz w:val="32"/>
          <w:szCs w:val="32"/>
          <w:highlight w:val="none"/>
          <w:lang w:val="en-US" w:eastAsia="zh-CN"/>
        </w:rPr>
        <w:t>宝山</w:t>
      </w:r>
      <w:r>
        <w:rPr>
          <w:rFonts w:hint="default" w:ascii="Times New Roman" w:hAnsi="Times New Roman" w:eastAsia="仿宋_GB2312" w:cs="Times New Roman"/>
          <w:spacing w:val="11"/>
          <w:sz w:val="32"/>
          <w:szCs w:val="32"/>
          <w:highlight w:val="none"/>
          <w:lang w:val="en-US" w:eastAsia="zh-CN"/>
        </w:rPr>
        <w:t>建设、发展的同志们、朋友们表示衷心的感谢和崇高的敬意！</w:t>
      </w:r>
    </w:p>
    <w:p w14:paraId="21E51134">
      <w:pPr>
        <w:keepNext w:val="0"/>
        <w:keepLines w:val="0"/>
        <w:pageBreakBefore w:val="0"/>
        <w:widowControl w:val="0"/>
        <w:kinsoku/>
        <w:wordWrap/>
        <w:overflowPunct/>
        <w:topLinePunct w:val="0"/>
        <w:autoSpaceDE/>
        <w:autoSpaceDN/>
        <w:bidi w:val="0"/>
        <w:adjustRightInd/>
        <w:snapToGrid/>
        <w:spacing w:line="592" w:lineRule="exact"/>
        <w:ind w:firstLine="684" w:firstLineChars="200"/>
        <w:jc w:val="both"/>
        <w:textAlignment w:val="auto"/>
        <w:rPr>
          <w:rFonts w:hint="eastAsia" w:ascii="Times New Roman" w:hAnsi="Times New Roman" w:eastAsia="仿宋_GB2312" w:cs="Times New Roman"/>
          <w:spacing w:val="11"/>
          <w:sz w:val="32"/>
          <w:szCs w:val="32"/>
          <w:highlight w:val="none"/>
          <w:lang w:val="en-US" w:eastAsia="zh-CN"/>
        </w:rPr>
      </w:pPr>
      <w:r>
        <w:rPr>
          <w:rFonts w:hint="eastAsia" w:ascii="Times New Roman" w:hAnsi="Times New Roman" w:eastAsia="仿宋_GB2312" w:cs="Times New Roman"/>
          <w:spacing w:val="11"/>
          <w:sz w:val="32"/>
          <w:szCs w:val="32"/>
          <w:highlight w:val="none"/>
          <w:lang w:val="en-US" w:eastAsia="zh-CN"/>
        </w:rPr>
        <w:t>在总结成绩的同时，我们也清醒认识到发展中存在的问题和不足。经济总量不大，产业结构不优；重大项目储备不足，发展后劲有待增强；城区功能配套和民生保障水平与群众期盼仍有差距；生态环境治理仍有短板，历史遗留矿山修复任务艰巨；煤矿等领域安全生产风险隐患不容忽视。对此，我们将高度重视，采取有力措施，切实加以解决。</w:t>
      </w:r>
    </w:p>
    <w:p w14:paraId="757F012F">
      <w:pPr>
        <w:keepNext w:val="0"/>
        <w:keepLines w:val="0"/>
        <w:pageBreakBefore w:val="0"/>
        <w:widowControl w:val="0"/>
        <w:kinsoku/>
        <w:wordWrap/>
        <w:overflowPunct/>
        <w:topLinePunct w:val="0"/>
        <w:autoSpaceDE/>
        <w:autoSpaceDN/>
        <w:bidi w:val="0"/>
        <w:adjustRightInd/>
        <w:snapToGrid/>
        <w:spacing w:line="592" w:lineRule="exact"/>
        <w:ind w:firstLine="684" w:firstLineChars="200"/>
        <w:jc w:val="both"/>
        <w:textAlignment w:val="auto"/>
        <w:rPr>
          <w:rFonts w:hint="eastAsia" w:ascii="仿宋_GB2312" w:hAnsi="仿宋_GB2312" w:eastAsia="黑体" w:cs="仿宋_GB2312"/>
          <w:spacing w:val="11"/>
          <w:sz w:val="32"/>
          <w:szCs w:val="32"/>
          <w:lang w:val="en-US" w:eastAsia="zh-CN"/>
        </w:rPr>
      </w:pPr>
      <w:r>
        <w:rPr>
          <w:rFonts w:hint="eastAsia" w:ascii="黑体" w:hAnsi="黑体" w:eastAsia="黑体" w:cs="黑体"/>
          <w:spacing w:val="11"/>
          <w:sz w:val="32"/>
          <w:szCs w:val="32"/>
          <w:lang w:val="en-US" w:eastAsia="zh-CN"/>
        </w:rPr>
        <w:t>二</w:t>
      </w:r>
      <w:r>
        <w:rPr>
          <w:rFonts w:hint="eastAsia" w:ascii="黑体" w:hAnsi="黑体" w:eastAsia="黑体" w:cs="黑体"/>
          <w:spacing w:val="11"/>
          <w:sz w:val="32"/>
          <w:szCs w:val="32"/>
        </w:rPr>
        <w:t>、“十五五”发展总体要求与</w:t>
      </w:r>
      <w:r>
        <w:rPr>
          <w:rFonts w:hint="default" w:ascii="Times New Roman" w:hAnsi="Times New Roman" w:eastAsia="黑体" w:cs="Times New Roman"/>
          <w:spacing w:val="11"/>
          <w:sz w:val="32"/>
          <w:szCs w:val="32"/>
        </w:rPr>
        <w:t>2026</w:t>
      </w:r>
      <w:r>
        <w:rPr>
          <w:rFonts w:hint="eastAsia" w:ascii="黑体" w:hAnsi="黑体" w:eastAsia="黑体" w:cs="黑体"/>
          <w:spacing w:val="11"/>
          <w:sz w:val="32"/>
          <w:szCs w:val="32"/>
        </w:rPr>
        <w:t>年工作</w:t>
      </w:r>
      <w:r>
        <w:rPr>
          <w:rFonts w:hint="eastAsia" w:ascii="黑体" w:hAnsi="黑体" w:eastAsia="黑体" w:cs="黑体"/>
          <w:spacing w:val="11"/>
          <w:sz w:val="32"/>
          <w:szCs w:val="32"/>
          <w:lang w:val="en-US" w:eastAsia="zh-CN"/>
        </w:rPr>
        <w:t>安排</w:t>
      </w:r>
    </w:p>
    <w:p w14:paraId="26D0CBEF">
      <w:pPr>
        <w:keepNext w:val="0"/>
        <w:keepLines w:val="0"/>
        <w:pageBreakBefore w:val="0"/>
        <w:widowControl w:val="0"/>
        <w:kinsoku/>
        <w:wordWrap/>
        <w:overflowPunct/>
        <w:topLinePunct w:val="0"/>
        <w:autoSpaceDE/>
        <w:autoSpaceDN/>
        <w:bidi w:val="0"/>
        <w:adjustRightInd/>
        <w:snapToGrid/>
        <w:spacing w:line="592" w:lineRule="exact"/>
        <w:ind w:firstLine="684" w:firstLineChars="200"/>
        <w:jc w:val="both"/>
        <w:textAlignment w:val="auto"/>
        <w:rPr>
          <w:rFonts w:hint="eastAsia" w:ascii="Times New Roman" w:hAnsi="Times New Roman" w:eastAsia="仿宋_GB2312" w:cs="Times New Roman"/>
          <w:spacing w:val="11"/>
          <w:sz w:val="32"/>
          <w:szCs w:val="32"/>
          <w:lang w:val="en-US" w:eastAsia="zh-CN"/>
        </w:rPr>
      </w:pPr>
      <w:r>
        <w:rPr>
          <w:rFonts w:hint="eastAsia" w:ascii="仿宋_GB2312" w:hAnsi="仿宋_GB2312" w:eastAsia="仿宋_GB2312" w:cs="仿宋_GB2312"/>
          <w:color w:val="000000" w:themeColor="text1"/>
          <w:spacing w:val="11"/>
          <w:sz w:val="32"/>
          <w:szCs w:val="32"/>
          <w14:textFill>
            <w14:solidFill>
              <w14:schemeClr w14:val="tx1"/>
            </w14:solidFill>
          </w14:textFill>
        </w:rPr>
        <w:t>“十</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pacing w:val="11"/>
          <w:sz w:val="32"/>
          <w:szCs w:val="32"/>
          <w14:textFill>
            <w14:solidFill>
              <w14:schemeClr w14:val="tx1"/>
            </w14:solidFill>
          </w14:textFill>
        </w:rPr>
        <w:t>五”时期全区经济社会发展的指导思想是</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w:t>
      </w:r>
      <w:r>
        <w:rPr>
          <w:rFonts w:hint="eastAsia" w:ascii="黑体" w:hAnsi="黑体" w:eastAsia="黑体" w:cs="黑体"/>
          <w:spacing w:val="11"/>
          <w:sz w:val="32"/>
          <w:szCs w:val="32"/>
          <w:lang w:val="en-US" w:eastAsia="zh-CN"/>
        </w:rPr>
        <w:t>坚持马克思列宁主义、毛泽东思想、邓小平理论、“三个代表”重要思想、科学发展观，全面贯彻习近平新时代中国特色社会主义思想，深入贯彻党的二十大和二十届历次全会精神，紧紧围绕全面建成社会主义现代化强国、实现第二个百年奋斗目标，以中国式现代化全面推进中华民族伟大复兴。统筹推进“五位一体”总体布局，协调推进“四个全面”战略布局，完整准确全面贯彻新发展理念，主动融入和服务新发展格局，坚持稳中求进工作总基调，坚持以经济建设为中心，以推动高质量发展为主题，以改革创新为根本动力，以满足人民日益增长的美好生活需要为根本目的，以全面从严治党为根本保障。牢牢把握维护国家“五大安全”的重要使命，扛牢建好建强“三基地一屏障一高地”的重大使命，紧扣省委建设“六个龙江”、推进“八个振兴”部署要求，锚定市委打造“两区三城”发展目标，着力稳就业、稳企业、稳市场、稳预期，持续做优增量、盘活存量，推动经济实现质的有效提升和量的合理增长。聚力建设煤电能源聚集区、地企合作融合区、设施农业示范区、宜居宜业幸福区，保持社会和谐稳定，实现“十五五”良好开局，奋力开创中国式现代化宝山新局面。</w:t>
      </w:r>
    </w:p>
    <w:p w14:paraId="102CEDD0">
      <w:pPr>
        <w:keepNext w:val="0"/>
        <w:keepLines w:val="0"/>
        <w:pageBreakBefore w:val="0"/>
        <w:kinsoku/>
        <w:wordWrap/>
        <w:overflowPunct/>
        <w:topLinePunct w:val="0"/>
        <w:autoSpaceDE/>
        <w:autoSpaceDN/>
        <w:bidi w:val="0"/>
        <w:adjustRightInd/>
        <w:snapToGrid/>
        <w:spacing w:line="592" w:lineRule="exact"/>
        <w:ind w:firstLine="684" w:firstLineChars="200"/>
        <w:jc w:val="both"/>
        <w:textAlignment w:val="auto"/>
        <w:rPr>
          <w:rFonts w:hint="eastAsia" w:ascii="仿宋_GB2312" w:hAnsi="仿宋_GB2312" w:eastAsia="仿宋_GB2312" w:cs="仿宋_GB2312"/>
          <w:spacing w:val="11"/>
          <w:sz w:val="32"/>
          <w:szCs w:val="32"/>
          <w:lang w:eastAsia="zh-CN"/>
        </w:rPr>
      </w:pPr>
      <w:r>
        <w:rPr>
          <w:rFonts w:hint="eastAsia" w:ascii="Times New Roman" w:hAnsi="Times New Roman" w:eastAsia="仿宋_GB2312" w:cs="Times New Roman"/>
          <w:spacing w:val="11"/>
          <w:sz w:val="32"/>
          <w:szCs w:val="32"/>
          <w:lang w:val="en-US" w:eastAsia="zh-CN"/>
        </w:rPr>
        <w:t>2026年</w:t>
      </w:r>
      <w:r>
        <w:rPr>
          <w:rFonts w:hint="eastAsia" w:ascii="仿宋_GB2312" w:hAnsi="仿宋_GB2312" w:eastAsia="仿宋_GB2312" w:cs="仿宋_GB2312"/>
          <w:spacing w:val="11"/>
          <w:sz w:val="32"/>
          <w:szCs w:val="32"/>
        </w:rPr>
        <w:t>是“十五五”规划开局之年，</w:t>
      </w:r>
      <w:r>
        <w:rPr>
          <w:rFonts w:hint="eastAsia" w:ascii="仿宋_GB2312" w:hAnsi="仿宋_GB2312" w:eastAsia="仿宋_GB2312" w:cs="仿宋_GB2312"/>
          <w:color w:val="000000" w:themeColor="text1"/>
          <w:spacing w:val="11"/>
          <w:sz w:val="32"/>
          <w:szCs w:val="32"/>
          <w14:textFill>
            <w14:solidFill>
              <w14:schemeClr w14:val="tx1"/>
            </w14:solidFill>
          </w14:textFill>
        </w:rPr>
        <w:t>全区经济社会发展的预期目标是：</w:t>
      </w:r>
      <w:r>
        <w:rPr>
          <w:rFonts w:hint="eastAsia" w:ascii="仿宋_GB2312" w:hAnsi="仿宋_GB2312" w:eastAsia="仿宋_GB2312" w:cs="仿宋_GB2312"/>
          <w:b w:val="0"/>
          <w:bCs/>
          <w:color w:val="000000"/>
          <w:spacing w:val="11"/>
          <w:kern w:val="0"/>
          <w:sz w:val="32"/>
          <w:szCs w:val="32"/>
          <w:highlight w:val="none"/>
          <w:lang w:val="en-US" w:eastAsia="zh-CN"/>
        </w:rPr>
        <w:t>地区生产总值增</w:t>
      </w:r>
      <w:r>
        <w:rPr>
          <w:rFonts w:hint="eastAsia" w:ascii="Times New Roman" w:hAnsi="Times New Roman" w:eastAsia="仿宋_GB2312" w:cs="Times New Roman"/>
          <w:spacing w:val="11"/>
          <w:sz w:val="32"/>
          <w:szCs w:val="32"/>
          <w:lang w:val="en-US" w:eastAsia="zh-CN"/>
        </w:rPr>
        <w:t>长6%，农林牧渔业总产值增长4.5%，规模以上工业增加值增长30%，社会消费品零售总额增长5%，固定资产投资增长7%，外贸进出口总值增长30%，一般公共预算收入增长13%以上，城乡居民人均可支配收入增长与经济增长基本同步。</w:t>
      </w:r>
    </w:p>
    <w:p w14:paraId="0D2FD15B">
      <w:pPr>
        <w:keepNext w:val="0"/>
        <w:keepLines w:val="0"/>
        <w:pageBreakBefore w:val="0"/>
        <w:widowControl w:val="0"/>
        <w:kinsoku/>
        <w:wordWrap/>
        <w:overflowPunct/>
        <w:topLinePunct w:val="0"/>
        <w:autoSpaceDE/>
        <w:autoSpaceDN/>
        <w:bidi w:val="0"/>
        <w:adjustRightInd/>
        <w:snapToGrid/>
        <w:spacing w:line="592" w:lineRule="exact"/>
        <w:ind w:firstLine="684" w:firstLineChars="200"/>
        <w:jc w:val="both"/>
        <w:textAlignment w:val="auto"/>
        <w:rPr>
          <w:rFonts w:hint="eastAsia" w:ascii="楷体_GB2312" w:hAnsi="楷体_GB2312" w:eastAsia="楷体_GB2312" w:cs="楷体_GB2312"/>
          <w:b/>
          <w:bCs/>
          <w:spacing w:val="11"/>
          <w:sz w:val="32"/>
          <w:szCs w:val="32"/>
          <w:highlight w:val="none"/>
          <w:lang w:val="en-US" w:eastAsia="zh-CN"/>
        </w:rPr>
      </w:pPr>
      <w:r>
        <w:rPr>
          <w:rFonts w:hint="eastAsia" w:ascii="仿宋_GB2312" w:hAnsi="仿宋_GB2312" w:eastAsia="仿宋_GB2312" w:cs="仿宋_GB2312"/>
          <w:color w:val="000000" w:themeColor="text1"/>
          <w:spacing w:val="11"/>
          <w:sz w:val="32"/>
          <w:szCs w:val="32"/>
          <w14:textFill>
            <w14:solidFill>
              <w14:schemeClr w14:val="tx1"/>
            </w14:solidFill>
          </w14:textFill>
        </w:rPr>
        <w:t>为实现上述目标，今年重点抓好以下工作：</w:t>
      </w:r>
    </w:p>
    <w:p w14:paraId="05F4703A">
      <w:pPr>
        <w:keepNext w:val="0"/>
        <w:keepLines w:val="0"/>
        <w:pageBreakBefore w:val="0"/>
        <w:kinsoku/>
        <w:wordWrap/>
        <w:overflowPunct/>
        <w:topLinePunct w:val="0"/>
        <w:autoSpaceDE/>
        <w:autoSpaceDN/>
        <w:bidi w:val="0"/>
        <w:adjustRightInd/>
        <w:snapToGrid/>
        <w:spacing w:line="592" w:lineRule="exact"/>
        <w:ind w:firstLine="687" w:firstLineChars="200"/>
        <w:jc w:val="both"/>
        <w:textAlignment w:val="auto"/>
        <w:rPr>
          <w:rFonts w:hint="eastAsia" w:ascii="仿宋_GB2312" w:hAnsi="仿宋_GB2312" w:eastAsia="仿宋_GB2312" w:cs="仿宋_GB2312"/>
          <w:spacing w:val="11"/>
          <w:sz w:val="32"/>
          <w:szCs w:val="32"/>
          <w:lang w:val="en-US" w:eastAsia="zh-CN"/>
        </w:rPr>
      </w:pPr>
      <w:r>
        <w:rPr>
          <w:rFonts w:hint="eastAsia" w:ascii="楷体_GB2312" w:hAnsi="楷体_GB2312" w:eastAsia="楷体_GB2312" w:cs="楷体_GB2312"/>
          <w:b/>
          <w:bCs/>
          <w:spacing w:val="11"/>
          <w:sz w:val="32"/>
          <w:szCs w:val="32"/>
          <w:highlight w:val="none"/>
          <w:lang w:val="en-US" w:eastAsia="zh-CN"/>
        </w:rPr>
        <w:t>（一）强招商、上项目，培育发展新动能。</w:t>
      </w:r>
      <w:r>
        <w:rPr>
          <w:rFonts w:hint="eastAsia" w:ascii="仿宋_GB2312" w:hAnsi="仿宋_GB2312" w:eastAsia="仿宋_GB2312" w:cs="仿宋_GB2312"/>
          <w:b/>
          <w:bCs w:val="0"/>
          <w:color w:val="000000"/>
          <w:spacing w:val="11"/>
          <w:kern w:val="0"/>
          <w:sz w:val="32"/>
          <w:szCs w:val="32"/>
          <w:highlight w:val="none"/>
          <w:lang w:val="en-US" w:eastAsia="zh-CN"/>
        </w:rPr>
        <w:t>加大招商引资力度。</w:t>
      </w:r>
      <w:r>
        <w:rPr>
          <w:rFonts w:hint="eastAsia" w:ascii="仿宋_GB2312" w:hAnsi="仿宋_GB2312" w:eastAsia="仿宋_GB2312" w:cs="仿宋_GB2312"/>
          <w:b w:val="0"/>
          <w:bCs/>
          <w:color w:val="000000"/>
          <w:spacing w:val="11"/>
          <w:kern w:val="0"/>
          <w:sz w:val="32"/>
          <w:szCs w:val="32"/>
          <w:highlight w:val="none"/>
          <w:lang w:val="en-US" w:eastAsia="zh-CN"/>
        </w:rPr>
        <w:t>开展招商引资攻坚行动，紧密围绕全区产业布局，锁定农产品精深加工、新能源、新材料等关键领域，组建专业招商小分队，持续完善“三单一书”，深入开展敲门招商、产业链招商、以商招商，谋划储备项目</w:t>
      </w:r>
      <w:r>
        <w:rPr>
          <w:rFonts w:hint="eastAsia" w:ascii="Times New Roman" w:hAnsi="Times New Roman" w:eastAsia="仿宋_GB2312" w:cs="Times New Roman"/>
          <w:spacing w:val="11"/>
          <w:sz w:val="32"/>
          <w:szCs w:val="32"/>
          <w:lang w:val="en-US" w:eastAsia="zh-CN"/>
        </w:rPr>
        <w:t>15个，力争签约落地产业项目10个，资金到位率同比增长30%。</w:t>
      </w:r>
      <w:r>
        <w:rPr>
          <w:rFonts w:hint="eastAsia" w:ascii="仿宋_GB2312" w:hAnsi="仿宋_GB2312" w:eastAsia="仿宋_GB2312" w:cs="仿宋_GB2312"/>
          <w:b/>
          <w:bCs w:val="0"/>
          <w:color w:val="000000"/>
          <w:spacing w:val="11"/>
          <w:kern w:val="0"/>
          <w:sz w:val="32"/>
          <w:szCs w:val="32"/>
          <w:highlight w:val="none"/>
          <w:lang w:val="en-US" w:eastAsia="zh-CN"/>
        </w:rPr>
        <w:t>加快产业项目建设。</w:t>
      </w:r>
      <w:r>
        <w:rPr>
          <w:rFonts w:hint="eastAsia" w:ascii="仿宋_GB2312" w:hAnsi="仿宋_GB2312" w:eastAsia="仿宋_GB2312" w:cs="仿宋_GB2312"/>
          <w:b w:val="0"/>
          <w:bCs/>
          <w:color w:val="000000"/>
          <w:spacing w:val="11"/>
          <w:kern w:val="0"/>
          <w:sz w:val="32"/>
          <w:szCs w:val="32"/>
          <w:highlight w:val="none"/>
          <w:lang w:val="en-US" w:eastAsia="zh-CN"/>
        </w:rPr>
        <w:t>实施项目建设攻坚行动，紧盯“三率”，力促项目快建设、早投产。加强全过程跟踪服务，积极对接农垦、双矿、国电等大型驻区企业，推动煤矿智能化改造、国电节能降耗技改等项目开工建设，加快推进饮用天然矿泉水、牧光互补项</w:t>
      </w:r>
      <w:r>
        <w:rPr>
          <w:rFonts w:hint="eastAsia" w:ascii="Times New Roman" w:hAnsi="Times New Roman" w:eastAsia="仿宋_GB2312" w:cs="Times New Roman"/>
          <w:spacing w:val="11"/>
          <w:sz w:val="32"/>
          <w:szCs w:val="32"/>
          <w:lang w:val="en-US" w:eastAsia="zh-CN"/>
        </w:rPr>
        <w:t>目落地开工，乡村驭风行动年内竣工。确保全年开复工省重点项目3个，投资500万元以上产业项目11个。落实深化县域经济发展突破年行动部署，加快培育壮大兴区产业，持续增强区域经济发展实力。</w:t>
      </w:r>
      <w:r>
        <w:rPr>
          <w:rFonts w:hint="eastAsia" w:ascii="仿宋_GB2312" w:hAnsi="仿宋_GB2312" w:eastAsia="仿宋_GB2312" w:cs="仿宋_GB2312"/>
          <w:b/>
          <w:bCs w:val="0"/>
          <w:color w:val="000000"/>
          <w:spacing w:val="11"/>
          <w:kern w:val="0"/>
          <w:sz w:val="32"/>
          <w:szCs w:val="32"/>
          <w:highlight w:val="none"/>
          <w:lang w:val="en-US" w:eastAsia="zh-CN"/>
        </w:rPr>
        <w:t>积极争取政策资金。</w:t>
      </w:r>
      <w:r>
        <w:rPr>
          <w:rFonts w:hint="eastAsia" w:ascii="仿宋_GB2312" w:hAnsi="仿宋_GB2312" w:eastAsia="仿宋_GB2312" w:cs="仿宋_GB2312"/>
          <w:b w:val="0"/>
          <w:bCs/>
          <w:color w:val="000000"/>
          <w:spacing w:val="11"/>
          <w:kern w:val="0"/>
          <w:sz w:val="32"/>
          <w:szCs w:val="32"/>
          <w:highlight w:val="none"/>
          <w:lang w:val="en-US" w:eastAsia="zh-CN"/>
        </w:rPr>
        <w:t>锚定新质生产力培育、“两重”“两新”、基础设施改造等重点领域，精准对接中央预算内投资、超长期特别国债、地方政府债券等政策资金，加快补齐基础设施和民生短板。</w:t>
      </w:r>
    </w:p>
    <w:p w14:paraId="45383111">
      <w:pPr>
        <w:keepNext w:val="0"/>
        <w:keepLines w:val="0"/>
        <w:pageBreakBefore w:val="0"/>
        <w:kinsoku/>
        <w:wordWrap/>
        <w:overflowPunct/>
        <w:topLinePunct w:val="0"/>
        <w:autoSpaceDE/>
        <w:autoSpaceDN/>
        <w:bidi w:val="0"/>
        <w:adjustRightInd/>
        <w:snapToGrid/>
        <w:spacing w:line="592" w:lineRule="exact"/>
        <w:ind w:firstLine="687" w:firstLineChars="200"/>
        <w:jc w:val="both"/>
        <w:textAlignment w:val="auto"/>
        <w:rPr>
          <w:rFonts w:hint="eastAsia" w:ascii="仿宋_GB2312" w:hAnsi="仿宋_GB2312" w:eastAsia="仿宋_GB2312" w:cs="仿宋_GB2312"/>
          <w:b w:val="0"/>
          <w:bCs/>
          <w:color w:val="000000"/>
          <w:spacing w:val="11"/>
          <w:kern w:val="0"/>
          <w:sz w:val="32"/>
          <w:szCs w:val="32"/>
          <w:highlight w:val="none"/>
          <w:lang w:val="en-US" w:eastAsia="zh-CN"/>
        </w:rPr>
      </w:pPr>
      <w:r>
        <w:rPr>
          <w:rFonts w:hint="eastAsia" w:ascii="楷体_GB2312" w:hAnsi="楷体_GB2312" w:eastAsia="楷体_GB2312" w:cs="楷体_GB2312"/>
          <w:b/>
          <w:bCs/>
          <w:spacing w:val="11"/>
          <w:sz w:val="32"/>
          <w:szCs w:val="32"/>
          <w:highlight w:val="none"/>
          <w:lang w:val="en-US" w:eastAsia="zh-CN"/>
        </w:rPr>
        <w:t>（二）兴产业、强链条，夯实发展新根基。</w:t>
      </w:r>
      <w:r>
        <w:rPr>
          <w:rFonts w:hint="eastAsia" w:ascii="仿宋_GB2312" w:hAnsi="仿宋_GB2312" w:eastAsia="仿宋_GB2312" w:cs="仿宋_GB2312"/>
          <w:b/>
          <w:bCs w:val="0"/>
          <w:color w:val="000000"/>
          <w:spacing w:val="11"/>
          <w:kern w:val="0"/>
          <w:sz w:val="32"/>
          <w:szCs w:val="32"/>
          <w:highlight w:val="none"/>
          <w:lang w:val="en-US" w:eastAsia="zh-CN"/>
        </w:rPr>
        <w:t>全面提升农业质效。</w:t>
      </w:r>
      <w:r>
        <w:rPr>
          <w:rFonts w:hint="eastAsia" w:ascii="仿宋_GB2312" w:hAnsi="仿宋_GB2312" w:eastAsia="仿宋_GB2312" w:cs="仿宋_GB2312"/>
          <w:b w:val="0"/>
          <w:bCs/>
          <w:color w:val="000000"/>
          <w:spacing w:val="11"/>
          <w:kern w:val="0"/>
          <w:sz w:val="32"/>
          <w:szCs w:val="32"/>
          <w:highlight w:val="none"/>
          <w:lang w:val="en-US" w:eastAsia="zh-CN"/>
        </w:rPr>
        <w:t>夯实粮食安全“压舱石”作用，严守</w:t>
      </w:r>
      <w:r>
        <w:rPr>
          <w:rFonts w:hint="default" w:ascii="Times New Roman" w:hAnsi="Times New Roman" w:eastAsia="仿宋_GB2312" w:cs="Times New Roman"/>
          <w:b w:val="0"/>
          <w:bCs/>
          <w:color w:val="000000"/>
          <w:spacing w:val="11"/>
          <w:kern w:val="0"/>
          <w:sz w:val="32"/>
          <w:szCs w:val="32"/>
          <w:highlight w:val="none"/>
          <w:lang w:val="en-US" w:eastAsia="zh-CN"/>
        </w:rPr>
        <w:t>45</w:t>
      </w:r>
      <w:r>
        <w:rPr>
          <w:rFonts w:hint="eastAsia" w:ascii="仿宋_GB2312" w:hAnsi="仿宋_GB2312" w:eastAsia="仿宋_GB2312" w:cs="仿宋_GB2312"/>
          <w:b w:val="0"/>
          <w:bCs/>
          <w:color w:val="000000"/>
          <w:spacing w:val="11"/>
          <w:kern w:val="0"/>
          <w:sz w:val="32"/>
          <w:szCs w:val="32"/>
          <w:highlight w:val="none"/>
          <w:lang w:val="en-US" w:eastAsia="zh-CN"/>
        </w:rPr>
        <w:t>万亩耕地红线，科学调整种植品类与区域布局，全面推广大垄密植技术，与双鸭山农场推广“全程托管、产量保底、投入包干、多收多分”合作模式，垦地合</w:t>
      </w:r>
      <w:r>
        <w:rPr>
          <w:rFonts w:hint="eastAsia" w:ascii="Times New Roman" w:hAnsi="Times New Roman" w:eastAsia="仿宋_GB2312" w:cs="Times New Roman"/>
          <w:spacing w:val="11"/>
          <w:sz w:val="32"/>
          <w:szCs w:val="32"/>
          <w:lang w:val="en-US" w:eastAsia="zh-CN"/>
        </w:rPr>
        <w:t>作面积达到3000亩。聚焦设施农业发展，盘活闲置大棚资源，推进棚室升级改造、果蔬标准化种植等项目，规模化发展反</w:t>
      </w:r>
      <w:r>
        <w:rPr>
          <w:rFonts w:hint="eastAsia" w:ascii="仿宋_GB2312" w:hAnsi="仿宋_GB2312" w:eastAsia="仿宋_GB2312" w:cs="仿宋_GB2312"/>
          <w:b w:val="0"/>
          <w:bCs/>
          <w:color w:val="000000"/>
          <w:spacing w:val="11"/>
          <w:kern w:val="0"/>
          <w:sz w:val="32"/>
          <w:szCs w:val="32"/>
          <w:highlight w:val="none"/>
          <w:lang w:val="en-US" w:eastAsia="zh-CN"/>
        </w:rPr>
        <w:t>季节蔬菜种植，助力现代农业提档升级。实施畜牧业振兴行动，支持润晋肉牛、翔霖牧业等企业扩大规模，推动畜禽小规模养殖户增加存栏量。推进成立宝山区鹅产业研究院，逐步实现孵化、养殖、屠宰、加工</w:t>
      </w:r>
      <w:r>
        <w:rPr>
          <w:rFonts w:hint="eastAsia" w:ascii="Times New Roman" w:hAnsi="Times New Roman" w:eastAsia="仿宋_GB2312" w:cs="Times New Roman"/>
          <w:spacing w:val="11"/>
          <w:sz w:val="32"/>
          <w:szCs w:val="32"/>
          <w:lang w:val="en-US" w:eastAsia="zh-CN"/>
        </w:rPr>
        <w:t>一体化发展，延伸大鹅产业链条，确保畜禽出栏率增长5%以上。深入挖掘林下空间资源价值，因地制宜发展林下种养、药材种植、食用菌培育等特色业态，拓宽产业增收路径。扎实推进乡村振兴项目建设，以项目赋能夯实乡村振兴根基</w:t>
      </w:r>
      <w:r>
        <w:rPr>
          <w:rFonts w:hint="eastAsia" w:ascii="仿宋_GB2312" w:hAnsi="仿宋_GB2312" w:eastAsia="仿宋_GB2312" w:cs="仿宋_GB2312"/>
          <w:b w:val="0"/>
          <w:bCs/>
          <w:color w:val="000000"/>
          <w:spacing w:val="11"/>
          <w:kern w:val="0"/>
          <w:sz w:val="32"/>
          <w:szCs w:val="32"/>
          <w:highlight w:val="none"/>
          <w:lang w:val="en-US" w:eastAsia="zh-CN"/>
        </w:rPr>
        <w:t>。</w:t>
      </w:r>
      <w:r>
        <w:rPr>
          <w:rFonts w:hint="eastAsia" w:ascii="仿宋_GB2312" w:hAnsi="仿宋_GB2312" w:eastAsia="仿宋_GB2312" w:cs="仿宋_GB2312"/>
          <w:b/>
          <w:bCs w:val="0"/>
          <w:color w:val="000000"/>
          <w:spacing w:val="11"/>
          <w:kern w:val="0"/>
          <w:sz w:val="32"/>
          <w:szCs w:val="32"/>
          <w:highlight w:val="none"/>
          <w:lang w:val="en-US" w:eastAsia="zh-CN"/>
        </w:rPr>
        <w:t>做大做强主导产业。</w:t>
      </w:r>
      <w:r>
        <w:rPr>
          <w:rFonts w:hint="eastAsia" w:ascii="仿宋_GB2312" w:hAnsi="仿宋_GB2312" w:eastAsia="仿宋_GB2312" w:cs="仿宋_GB2312"/>
          <w:b w:val="0"/>
          <w:bCs/>
          <w:color w:val="000000"/>
          <w:spacing w:val="11"/>
          <w:kern w:val="0"/>
          <w:sz w:val="32"/>
          <w:szCs w:val="32"/>
          <w:highlight w:val="none"/>
          <w:lang w:val="en-US" w:eastAsia="zh-CN"/>
        </w:rPr>
        <w:t>推</w:t>
      </w:r>
      <w:r>
        <w:rPr>
          <w:rFonts w:hint="eastAsia" w:ascii="Times New Roman" w:hAnsi="Times New Roman" w:eastAsia="仿宋_GB2312" w:cs="Times New Roman"/>
          <w:spacing w:val="11"/>
          <w:sz w:val="32"/>
          <w:szCs w:val="32"/>
          <w:lang w:val="en-US" w:eastAsia="zh-CN"/>
        </w:rPr>
        <w:t>进发展煤矿30万吨升级改造项目落地，推动汇源、龙发、三合顺3处建设煤矿顺利进入联合试运转，力争年底竣工投产，</w:t>
      </w:r>
      <w:r>
        <w:rPr>
          <w:rFonts w:hint="eastAsia" w:ascii="仿宋_GB2312" w:hAnsi="仿宋_GB2312" w:eastAsia="仿宋_GB2312" w:cs="仿宋_GB2312"/>
          <w:b w:val="0"/>
          <w:bCs/>
          <w:color w:val="000000"/>
          <w:spacing w:val="11"/>
          <w:kern w:val="0"/>
          <w:sz w:val="32"/>
          <w:szCs w:val="32"/>
          <w:highlight w:val="none"/>
          <w:lang w:val="en-US" w:eastAsia="zh-CN"/>
        </w:rPr>
        <w:t>确保大民煤矿顺利达产入规，推动亚泰等地方煤矿复工复产，充分释放产能，力争地方煤矿煤炭产量达到</w:t>
      </w:r>
      <w:r>
        <w:rPr>
          <w:rFonts w:hint="eastAsia" w:ascii="Times New Roman" w:hAnsi="Times New Roman" w:eastAsia="仿宋_GB2312" w:cs="Times New Roman"/>
          <w:spacing w:val="11"/>
          <w:sz w:val="32"/>
          <w:szCs w:val="32"/>
          <w:lang w:val="en-US" w:eastAsia="zh-CN"/>
        </w:rPr>
        <w:t>150万吨。</w:t>
      </w:r>
      <w:r>
        <w:rPr>
          <w:rFonts w:hint="eastAsia" w:ascii="仿宋_GB2312" w:hAnsi="仿宋_GB2312" w:eastAsia="仿宋_GB2312" w:cs="仿宋_GB2312"/>
          <w:b w:val="0"/>
          <w:bCs/>
          <w:color w:val="000000"/>
          <w:spacing w:val="11"/>
          <w:kern w:val="0"/>
          <w:sz w:val="32"/>
          <w:szCs w:val="32"/>
          <w:highlight w:val="none"/>
          <w:lang w:val="en-US" w:eastAsia="zh-CN"/>
        </w:rPr>
        <w:t>开展服务企业大走访活动，实施“一企一策”，帮助企业复产复工、扭亏增盈。</w:t>
      </w:r>
      <w:r>
        <w:rPr>
          <w:rFonts w:hint="eastAsia" w:ascii="Times New Roman" w:hAnsi="Times New Roman" w:eastAsia="仿宋_GB2312" w:cs="Times New Roman"/>
          <w:spacing w:val="11"/>
          <w:sz w:val="32"/>
          <w:szCs w:val="32"/>
          <w:lang w:val="en-US" w:eastAsia="zh-CN"/>
        </w:rPr>
        <w:t>通过招商引资、兼并重组、技术改造等方式盘活存量洗煤资源，推动凯泰、鑫雨瀚等</w:t>
      </w:r>
      <w:r>
        <w:rPr>
          <w:rFonts w:hint="eastAsia" w:ascii="仿宋_GB2312" w:hAnsi="仿宋_GB2312" w:eastAsia="仿宋_GB2312" w:cs="仿宋_GB2312"/>
          <w:b w:val="0"/>
          <w:bCs/>
          <w:color w:val="000000"/>
          <w:spacing w:val="11"/>
          <w:kern w:val="0"/>
          <w:sz w:val="32"/>
          <w:szCs w:val="32"/>
          <w:highlight w:val="none"/>
          <w:lang w:val="en-US" w:eastAsia="zh-CN"/>
        </w:rPr>
        <w:t>存量洗煤企业复产。</w:t>
      </w:r>
      <w:r>
        <w:rPr>
          <w:rFonts w:hint="eastAsia" w:ascii="仿宋_GB2312" w:hAnsi="仿宋_GB2312" w:eastAsia="仿宋_GB2312" w:cs="仿宋_GB2312"/>
          <w:b/>
          <w:bCs w:val="0"/>
          <w:color w:val="000000"/>
          <w:spacing w:val="11"/>
          <w:kern w:val="0"/>
          <w:sz w:val="32"/>
          <w:szCs w:val="32"/>
          <w:highlight w:val="none"/>
          <w:lang w:val="en-US" w:eastAsia="zh-CN"/>
        </w:rPr>
        <w:t>稳步发展新兴产业。</w:t>
      </w:r>
      <w:r>
        <w:rPr>
          <w:rFonts w:hint="eastAsia" w:ascii="Times New Roman" w:hAnsi="Times New Roman" w:eastAsia="仿宋_GB2312" w:cs="Times New Roman"/>
          <w:spacing w:val="11"/>
          <w:sz w:val="32"/>
          <w:szCs w:val="32"/>
          <w:lang w:val="en-US" w:eastAsia="zh-CN"/>
        </w:rPr>
        <w:t>加大培育扶持力度，确保碳一10万吨天然石墨、5万吨人造石墨负极材料项目投产。完善新能源产业布局，实现</w:t>
      </w:r>
      <w:bookmarkStart w:id="0" w:name="_GoBack"/>
      <w:bookmarkEnd w:id="0"/>
      <w:r>
        <w:rPr>
          <w:rFonts w:hint="eastAsia" w:ascii="Times New Roman" w:hAnsi="Times New Roman" w:eastAsia="仿宋_GB2312" w:cs="Times New Roman"/>
          <w:spacing w:val="11"/>
          <w:sz w:val="32"/>
          <w:szCs w:val="32"/>
          <w:lang w:val="en-US" w:eastAsia="zh-CN"/>
        </w:rPr>
        <w:t>8万千瓦光伏复合发电项目并网发电，推进锅盔山6.25兆瓦风电、5.95兆瓦牧光互补项目建设，力争新能源产能达到110兆瓦。统筹发展数字经济、生物经济，构筑经济高质量发展新优势。</w:t>
      </w:r>
      <w:r>
        <w:rPr>
          <w:rFonts w:hint="eastAsia" w:ascii="仿宋_GB2312" w:hAnsi="仿宋_GB2312" w:eastAsia="仿宋_GB2312" w:cs="仿宋_GB2312"/>
          <w:b/>
          <w:bCs w:val="0"/>
          <w:color w:val="000000"/>
          <w:spacing w:val="11"/>
          <w:kern w:val="0"/>
          <w:sz w:val="32"/>
          <w:szCs w:val="32"/>
          <w:highlight w:val="none"/>
          <w:lang w:val="en-US" w:eastAsia="zh-CN"/>
        </w:rPr>
        <w:t>充分释放内需潜能。</w:t>
      </w:r>
      <w:r>
        <w:rPr>
          <w:rFonts w:hint="eastAsia" w:ascii="仿宋_GB2312" w:hAnsi="仿宋_GB2312" w:eastAsia="仿宋_GB2312" w:cs="仿宋_GB2312"/>
          <w:b w:val="0"/>
          <w:bCs/>
          <w:color w:val="000000"/>
          <w:spacing w:val="11"/>
          <w:kern w:val="0"/>
          <w:sz w:val="32"/>
          <w:szCs w:val="32"/>
          <w:highlight w:val="none"/>
          <w:lang w:val="en-US" w:eastAsia="zh-CN"/>
        </w:rPr>
        <w:t>加大</w:t>
      </w:r>
      <w:r>
        <w:rPr>
          <w:rFonts w:hint="eastAsia" w:ascii="Times New Roman" w:hAnsi="Times New Roman" w:eastAsia="仿宋_GB2312" w:cs="Times New Roman"/>
          <w:spacing w:val="11"/>
          <w:sz w:val="32"/>
          <w:szCs w:val="32"/>
          <w:lang w:val="en-US" w:eastAsia="zh-CN"/>
        </w:rPr>
        <w:t>复工复产企业服务力度，为新增就业人员就近消费创造条件，</w:t>
      </w:r>
      <w:r>
        <w:rPr>
          <w:rFonts w:hint="eastAsia" w:ascii="仿宋_GB2312" w:hAnsi="仿宋_GB2312" w:eastAsia="仿宋_GB2312" w:cs="仿宋_GB2312"/>
          <w:b w:val="0"/>
          <w:bCs/>
          <w:color w:val="000000"/>
          <w:spacing w:val="11"/>
          <w:kern w:val="0"/>
          <w:sz w:val="32"/>
          <w:szCs w:val="32"/>
          <w:highlight w:val="none"/>
          <w:lang w:val="en-US" w:eastAsia="zh-CN"/>
        </w:rPr>
        <w:t>推动文旅、电商、外贸、消费协同升级，激活经济增长新引擎。深化“旅游+互联网”融合模式，为酿清谷、翠博园、抗联密营地等旅游景点积极引流。推动电商产业发展，升级直播基地软硬件设施，鼓励支持直播电商、社交电商、即时零售等新业态发展。实施消费提振专项行动，落实消费品以旧换新政策，持续开展各类促销活动，充分释放家电、家居等消费潜能，全方位激发市场活力。</w:t>
      </w:r>
    </w:p>
    <w:p w14:paraId="71013ECC">
      <w:pPr>
        <w:keepNext w:val="0"/>
        <w:keepLines w:val="0"/>
        <w:pageBreakBefore w:val="0"/>
        <w:widowControl w:val="0"/>
        <w:kinsoku/>
        <w:wordWrap/>
        <w:overflowPunct/>
        <w:topLinePunct w:val="0"/>
        <w:autoSpaceDE/>
        <w:autoSpaceDN/>
        <w:bidi w:val="0"/>
        <w:adjustRightInd/>
        <w:snapToGrid/>
        <w:spacing w:line="592" w:lineRule="exact"/>
        <w:ind w:right="0" w:firstLine="687"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楷体_GB2312" w:hAnsi="楷体_GB2312" w:eastAsia="楷体_GB2312" w:cs="楷体_GB2312"/>
          <w:b/>
          <w:bCs/>
          <w:spacing w:val="11"/>
          <w:sz w:val="32"/>
          <w:szCs w:val="32"/>
          <w:lang w:val="en-US" w:eastAsia="zh-CN"/>
        </w:rPr>
        <w:t>（三）抓改革、促合作，筑牢发展新支撑。</w:t>
      </w:r>
      <w:r>
        <w:rPr>
          <w:rFonts w:hint="eastAsia" w:ascii="仿宋_GB2312" w:hAnsi="仿宋_GB2312" w:eastAsia="仿宋_GB2312" w:cs="仿宋_GB2312"/>
          <w:b/>
          <w:bCs w:val="0"/>
          <w:color w:val="000000"/>
          <w:spacing w:val="11"/>
          <w:kern w:val="0"/>
          <w:sz w:val="32"/>
          <w:szCs w:val="32"/>
          <w:highlight w:val="none"/>
          <w:lang w:val="en-US" w:eastAsia="zh-CN"/>
        </w:rPr>
        <w:t>深化重点领域改革。</w:t>
      </w:r>
      <w:r>
        <w:rPr>
          <w:rFonts w:hint="default" w:ascii="仿宋_GB2312" w:hAnsi="仿宋_GB2312" w:eastAsia="仿宋_GB2312" w:cs="仿宋_GB2312"/>
          <w:b w:val="0"/>
          <w:bCs/>
          <w:color w:val="000000"/>
          <w:spacing w:val="11"/>
          <w:kern w:val="0"/>
          <w:sz w:val="32"/>
          <w:szCs w:val="32"/>
          <w:highlight w:val="none"/>
          <w:lang w:val="en-US" w:eastAsia="zh-CN"/>
        </w:rPr>
        <w:t>紧扣发展所需、基层所盼、民心所向，</w:t>
      </w:r>
      <w:r>
        <w:rPr>
          <w:rFonts w:hint="eastAsia" w:ascii="仿宋_GB2312" w:hAnsi="仿宋_GB2312" w:eastAsia="仿宋_GB2312" w:cs="仿宋_GB2312"/>
          <w:b w:val="0"/>
          <w:bCs/>
          <w:color w:val="000000"/>
          <w:spacing w:val="11"/>
          <w:kern w:val="0"/>
          <w:sz w:val="32"/>
          <w:szCs w:val="32"/>
          <w:highlight w:val="none"/>
          <w:lang w:val="en-US" w:eastAsia="zh-CN"/>
        </w:rPr>
        <w:t>统筹推进</w:t>
      </w:r>
      <w:r>
        <w:rPr>
          <w:rFonts w:hint="default" w:ascii="仿宋_GB2312" w:hAnsi="仿宋_GB2312" w:eastAsia="仿宋_GB2312" w:cs="仿宋_GB2312"/>
          <w:b w:val="0"/>
          <w:bCs/>
          <w:color w:val="000000"/>
          <w:spacing w:val="11"/>
          <w:kern w:val="0"/>
          <w:sz w:val="32"/>
          <w:szCs w:val="32"/>
          <w:highlight w:val="none"/>
          <w:lang w:val="en-US" w:eastAsia="zh-CN"/>
        </w:rPr>
        <w:t>教育</w:t>
      </w:r>
      <w:r>
        <w:rPr>
          <w:rFonts w:hint="eastAsia" w:ascii="仿宋_GB2312" w:hAnsi="仿宋_GB2312" w:eastAsia="仿宋_GB2312" w:cs="仿宋_GB2312"/>
          <w:b w:val="0"/>
          <w:bCs/>
          <w:color w:val="000000"/>
          <w:spacing w:val="11"/>
          <w:kern w:val="0"/>
          <w:sz w:val="32"/>
          <w:szCs w:val="32"/>
          <w:highlight w:val="none"/>
          <w:lang w:val="en-US" w:eastAsia="zh-CN"/>
        </w:rPr>
        <w:t>、</w:t>
      </w:r>
      <w:r>
        <w:rPr>
          <w:rFonts w:hint="default" w:ascii="仿宋_GB2312" w:hAnsi="仿宋_GB2312" w:eastAsia="仿宋_GB2312" w:cs="仿宋_GB2312"/>
          <w:b w:val="0"/>
          <w:bCs/>
          <w:color w:val="000000"/>
          <w:spacing w:val="11"/>
          <w:kern w:val="0"/>
          <w:sz w:val="32"/>
          <w:szCs w:val="32"/>
          <w:highlight w:val="none"/>
          <w:lang w:val="en-US" w:eastAsia="zh-CN"/>
        </w:rPr>
        <w:t>医疗、社会保障等方面改革，推动形成务实有效的改革成果。</w:t>
      </w:r>
      <w:r>
        <w:rPr>
          <w:rFonts w:hint="eastAsia" w:ascii="仿宋_GB2312" w:hAnsi="仿宋_GB2312" w:eastAsia="仿宋_GB2312" w:cs="仿宋_GB2312"/>
          <w:b w:val="0"/>
          <w:bCs/>
          <w:color w:val="000000"/>
          <w:spacing w:val="11"/>
          <w:kern w:val="0"/>
          <w:sz w:val="32"/>
          <w:szCs w:val="32"/>
          <w:highlight w:val="none"/>
          <w:lang w:val="en-US" w:eastAsia="zh-CN"/>
        </w:rPr>
        <w:t>坚持全区“一盘棋”思想，</w:t>
      </w:r>
      <w:r>
        <w:rPr>
          <w:rFonts w:hint="default" w:ascii="仿宋_GB2312" w:hAnsi="仿宋_GB2312" w:eastAsia="仿宋_GB2312" w:cs="仿宋_GB2312"/>
          <w:b w:val="0"/>
          <w:bCs/>
          <w:color w:val="000000"/>
          <w:spacing w:val="11"/>
          <w:kern w:val="0"/>
          <w:sz w:val="32"/>
          <w:szCs w:val="32"/>
          <w:highlight w:val="none"/>
          <w:lang w:val="en-US" w:eastAsia="zh-CN"/>
        </w:rPr>
        <w:t>加大区矿、区农、区林、区厂在经济发展、社会治理、民生改善、环境治理、资源利用等方面的协作力度</w:t>
      </w:r>
      <w:r>
        <w:rPr>
          <w:rFonts w:hint="eastAsia" w:ascii="仿宋_GB2312" w:hAnsi="仿宋_GB2312" w:eastAsia="仿宋_GB2312" w:cs="仿宋_GB2312"/>
          <w:b w:val="0"/>
          <w:bCs/>
          <w:color w:val="000000"/>
          <w:spacing w:val="11"/>
          <w:kern w:val="0"/>
          <w:sz w:val="32"/>
          <w:szCs w:val="32"/>
          <w:highlight w:val="none"/>
          <w:lang w:val="en-US" w:eastAsia="zh-CN"/>
        </w:rPr>
        <w:t>，稳步推进农垦改革“两供两治一业”等办社会职能移交，推动地企政策沟通、设施联通、服务融通，不断提升区域协调发展水平。</w:t>
      </w:r>
      <w:r>
        <w:rPr>
          <w:rFonts w:hint="eastAsia" w:ascii="仿宋_GB2312" w:hAnsi="仿宋_GB2312" w:eastAsia="仿宋_GB2312" w:cs="仿宋_GB2312"/>
          <w:b/>
          <w:bCs w:val="0"/>
          <w:color w:val="000000"/>
          <w:spacing w:val="11"/>
          <w:kern w:val="0"/>
          <w:sz w:val="32"/>
          <w:szCs w:val="32"/>
          <w:highlight w:val="none"/>
          <w:lang w:val="en-US" w:eastAsia="zh-CN"/>
        </w:rPr>
        <w:t>加强对外开放合作。</w:t>
      </w:r>
      <w:r>
        <w:rPr>
          <w:rFonts w:hint="eastAsia" w:ascii="仿宋_GB2312" w:hAnsi="仿宋_GB2312" w:eastAsia="仿宋_GB2312" w:cs="仿宋_GB2312"/>
          <w:b w:val="0"/>
          <w:bCs/>
          <w:color w:val="000000"/>
          <w:spacing w:val="11"/>
          <w:kern w:val="0"/>
          <w:sz w:val="32"/>
          <w:szCs w:val="32"/>
          <w:highlight w:val="none"/>
          <w:lang w:val="en-US" w:eastAsia="zh-CN"/>
        </w:rPr>
        <w:t>落实“双买双卖”战略，聚焦“出口抓加工、进口抓落地”，培育壮大外贸主体，加强外贸进出口企业服务，以龙烨、昌泰、鑫宏焱、碳一等重点外贸企业为核心，扩大俄煤进口、杂粮进出口、石油焦进口量。加强与京津冀、长三角、粤港澳等区域深度合作，不断拓展合作广度和深度，实现区域间互利共赢、共同发展目标。</w:t>
      </w:r>
      <w:r>
        <w:rPr>
          <w:rFonts w:hint="eastAsia" w:ascii="仿宋_GB2312" w:hAnsi="仿宋_GB2312" w:eastAsia="仿宋_GB2312" w:cs="仿宋_GB2312"/>
          <w:b/>
          <w:bCs w:val="0"/>
          <w:color w:val="000000"/>
          <w:spacing w:val="11"/>
          <w:kern w:val="0"/>
          <w:sz w:val="32"/>
          <w:szCs w:val="32"/>
          <w:highlight w:val="none"/>
          <w:lang w:val="en-US" w:eastAsia="zh-CN"/>
        </w:rPr>
        <w:t>持续优化营商环境。</w:t>
      </w:r>
      <w:r>
        <w:rPr>
          <w:rFonts w:hint="eastAsia" w:ascii="仿宋_GB2312" w:hAnsi="仿宋_GB2312" w:eastAsia="仿宋_GB2312" w:cs="仿宋_GB2312"/>
          <w:b w:val="0"/>
          <w:bCs/>
          <w:color w:val="000000"/>
          <w:spacing w:val="11"/>
          <w:kern w:val="0"/>
          <w:sz w:val="32"/>
          <w:szCs w:val="32"/>
          <w:highlight w:val="none"/>
          <w:lang w:val="en-US" w:eastAsia="zh-CN"/>
        </w:rPr>
        <w:t>实施优化营商环境专项行动，着力发展壮大民营经济，深入落实《双鸭山市促进民</w:t>
      </w:r>
      <w:r>
        <w:rPr>
          <w:rFonts w:hint="eastAsia" w:ascii="Times New Roman" w:hAnsi="Times New Roman" w:eastAsia="仿宋_GB2312" w:cs="Times New Roman"/>
          <w:spacing w:val="11"/>
          <w:sz w:val="32"/>
          <w:szCs w:val="32"/>
          <w:lang w:val="en-US" w:eastAsia="zh-CN"/>
        </w:rPr>
        <w:t>营经济发展24条</w:t>
      </w:r>
      <w:r>
        <w:rPr>
          <w:rFonts w:hint="eastAsia" w:ascii="仿宋_GB2312" w:hAnsi="仿宋_GB2312" w:eastAsia="仿宋_GB2312" w:cs="仿宋_GB2312"/>
          <w:b w:val="0"/>
          <w:bCs/>
          <w:color w:val="000000"/>
          <w:spacing w:val="11"/>
          <w:kern w:val="0"/>
          <w:sz w:val="32"/>
          <w:szCs w:val="32"/>
          <w:highlight w:val="none"/>
          <w:lang w:val="en-US" w:eastAsia="zh-CN"/>
        </w:rPr>
        <w:t>措施》和市场准入负面清单制度，加强公平竞争、信用监管和知识产权保护。全面推行政务服务“一站集成”，推动“高效办成一件事”向“高效办成每件事”升级。加大“四减两公开”力度，实现事项全流程线上闭环办理</w:t>
      </w:r>
      <w:r>
        <w:rPr>
          <w:rFonts w:hint="eastAsia" w:ascii="Times New Roman" w:hAnsi="Times New Roman" w:eastAsia="仿宋_GB2312" w:cs="Times New Roman"/>
          <w:spacing w:val="11"/>
          <w:sz w:val="32"/>
          <w:szCs w:val="32"/>
          <w:lang w:val="en-US" w:eastAsia="zh-CN"/>
        </w:rPr>
        <w:t>。开展规</w:t>
      </w:r>
      <w:r>
        <w:rPr>
          <w:rFonts w:hint="eastAsia" w:ascii="仿宋_GB2312" w:hAnsi="仿宋_GB2312" w:eastAsia="仿宋_GB2312" w:cs="仿宋_GB2312"/>
          <w:b w:val="0"/>
          <w:bCs/>
          <w:color w:val="000000"/>
          <w:spacing w:val="11"/>
          <w:kern w:val="0"/>
          <w:sz w:val="32"/>
          <w:szCs w:val="32"/>
          <w:highlight w:val="none"/>
          <w:lang w:val="en-US" w:eastAsia="zh-CN"/>
        </w:rPr>
        <w:t>范涉企执法专项行动，深化“互联网+监管”数据共享，推行行政检查“综合查一次”。</w:t>
      </w:r>
    </w:p>
    <w:p w14:paraId="2587ED8B">
      <w:pPr>
        <w:keepNext w:val="0"/>
        <w:keepLines w:val="0"/>
        <w:pageBreakBefore w:val="0"/>
        <w:kinsoku/>
        <w:wordWrap/>
        <w:overflowPunct/>
        <w:topLinePunct w:val="0"/>
        <w:autoSpaceDE/>
        <w:autoSpaceDN/>
        <w:bidi w:val="0"/>
        <w:adjustRightInd/>
        <w:snapToGrid/>
        <w:spacing w:line="592" w:lineRule="exact"/>
        <w:ind w:firstLine="687"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楷体_GB2312" w:hAnsi="楷体_GB2312" w:eastAsia="楷体_GB2312" w:cs="楷体_GB2312"/>
          <w:b/>
          <w:bCs/>
          <w:spacing w:val="11"/>
          <w:sz w:val="32"/>
          <w:szCs w:val="32"/>
          <w:lang w:val="en-US" w:eastAsia="zh-CN"/>
        </w:rPr>
        <w:t>（四）优环境、提品质，打造宜居新高地。</w:t>
      </w:r>
      <w:r>
        <w:rPr>
          <w:rFonts w:hint="eastAsia" w:ascii="仿宋_GB2312" w:hAnsi="仿宋_GB2312" w:eastAsia="仿宋_GB2312" w:cs="仿宋_GB2312"/>
          <w:b/>
          <w:bCs/>
          <w:spacing w:val="11"/>
          <w:sz w:val="32"/>
          <w:szCs w:val="32"/>
          <w:lang w:val="en-US" w:eastAsia="zh-CN"/>
        </w:rPr>
        <w:t>推进基础设施升级。</w:t>
      </w:r>
      <w:r>
        <w:rPr>
          <w:rFonts w:hint="eastAsia" w:ascii="仿宋_GB2312" w:hAnsi="仿宋_GB2312" w:eastAsia="仿宋_GB2312" w:cs="仿宋_GB2312"/>
          <w:b w:val="0"/>
          <w:bCs w:val="0"/>
          <w:spacing w:val="11"/>
          <w:sz w:val="32"/>
          <w:szCs w:val="32"/>
          <w:lang w:val="en-US" w:eastAsia="zh-CN"/>
        </w:rPr>
        <w:t>加快在建基础设施建设项目进程，力争排水、污水管网和热源厂升级改造工程竣工。推动七星、宝山净化水厂、东保卫水源井等项目开工。开展智能水表更新工程，提升用水计量精准度和智能化水平。谋划七星镇至太保镇、七星矿等路网改造项目，提升区域交通服务保障能力。</w:t>
      </w:r>
      <w:r>
        <w:rPr>
          <w:rFonts w:hint="eastAsia" w:ascii="仿宋_GB2312" w:hAnsi="仿宋_GB2312" w:eastAsia="仿宋_GB2312" w:cs="仿宋_GB2312"/>
          <w:b/>
          <w:bCs/>
          <w:spacing w:val="11"/>
          <w:sz w:val="32"/>
          <w:szCs w:val="32"/>
          <w:lang w:val="en-US" w:eastAsia="zh-CN"/>
        </w:rPr>
        <w:t>提高城区管理水平。</w:t>
      </w:r>
      <w:r>
        <w:rPr>
          <w:rFonts w:hint="eastAsia" w:ascii="仿宋_GB2312" w:hAnsi="仿宋_GB2312" w:eastAsia="仿宋_GB2312" w:cs="仿宋_GB2312"/>
          <w:b w:val="0"/>
          <w:bCs w:val="0"/>
          <w:spacing w:val="11"/>
          <w:sz w:val="32"/>
          <w:szCs w:val="32"/>
          <w:lang w:val="en-US" w:eastAsia="zh-CN"/>
        </w:rPr>
        <w:t>加快推进空中管线专项整治，垃圾分类，主次干道、背街巷道常态化保洁，加强市政设施常态化巡视管护和及时维修，规范停车秩序，彻底整治占道经营、私搭乱建等违法行为，使规范、文明成为辖区居民、业主的自觉行为。</w:t>
      </w:r>
      <w:r>
        <w:rPr>
          <w:rFonts w:hint="eastAsia" w:ascii="仿宋_GB2312" w:hAnsi="仿宋_GB2312" w:eastAsia="仿宋_GB2312" w:cs="仿宋_GB2312"/>
          <w:b/>
          <w:bCs/>
          <w:spacing w:val="11"/>
          <w:sz w:val="32"/>
          <w:szCs w:val="32"/>
          <w:lang w:val="en-US" w:eastAsia="zh-CN"/>
        </w:rPr>
        <w:t>加快建设和美乡村。</w:t>
      </w:r>
      <w:r>
        <w:rPr>
          <w:rFonts w:hint="eastAsia" w:ascii="仿宋_GB2312" w:hAnsi="仿宋_GB2312" w:eastAsia="仿宋_GB2312" w:cs="仿宋_GB2312"/>
          <w:b w:val="0"/>
          <w:bCs w:val="0"/>
          <w:spacing w:val="11"/>
          <w:sz w:val="32"/>
          <w:szCs w:val="32"/>
          <w:lang w:val="en-US" w:eastAsia="zh-CN"/>
        </w:rPr>
        <w:t>学习运用“千万工程”经验，分类推进宜居宜业和美乡村建设。深化农村人居环境整治，常态化开展村庄清洁行动，扎实推进“六清一修一改一建”。加强乡村治理，弘扬文明乡风，繁荣乡村文化，提升乡村文明善治水平。</w:t>
      </w:r>
      <w:r>
        <w:rPr>
          <w:rFonts w:hint="eastAsia" w:ascii="仿宋_GB2312" w:hAnsi="仿宋_GB2312" w:eastAsia="仿宋_GB2312" w:cs="仿宋_GB2312"/>
          <w:b/>
          <w:bCs/>
          <w:spacing w:val="11"/>
          <w:sz w:val="32"/>
          <w:szCs w:val="32"/>
          <w:lang w:val="en-US" w:eastAsia="zh-CN"/>
        </w:rPr>
        <w:t>强化生态保护治理。</w:t>
      </w:r>
      <w:r>
        <w:rPr>
          <w:rFonts w:hint="eastAsia" w:ascii="仿宋_GB2312" w:hAnsi="仿宋_GB2312" w:eastAsia="仿宋_GB2312" w:cs="仿宋_GB2312"/>
          <w:b w:val="0"/>
          <w:bCs w:val="0"/>
          <w:spacing w:val="11"/>
          <w:sz w:val="32"/>
          <w:szCs w:val="32"/>
          <w:lang w:val="en-US" w:eastAsia="zh-CN"/>
        </w:rPr>
        <w:t>深化生态总长制改革，深入开展污染防治攻坚，打好蓝天、碧水、净土保卫战，全力抓好中央、省环保督察问题整改。持续深化大气污染治理，空气质量优</w:t>
      </w:r>
      <w:r>
        <w:rPr>
          <w:rFonts w:hint="eastAsia" w:ascii="Times New Roman" w:hAnsi="Times New Roman" w:eastAsia="仿宋_GB2312" w:cs="Times New Roman"/>
          <w:spacing w:val="11"/>
          <w:sz w:val="32"/>
          <w:szCs w:val="32"/>
          <w:lang w:val="en-US" w:eastAsia="zh-CN"/>
        </w:rPr>
        <w:t>良天数比率保持在95%以上。持续改善水生态环境状况，确保饮用水水源地水质达标率保持100%，</w:t>
      </w:r>
      <w:r>
        <w:rPr>
          <w:rFonts w:hint="eastAsia" w:ascii="仿宋_GB2312" w:hAnsi="仿宋_GB2312" w:eastAsia="仿宋_GB2312" w:cs="仿宋_GB2312"/>
          <w:b w:val="0"/>
          <w:bCs w:val="0"/>
          <w:spacing w:val="11"/>
          <w:sz w:val="32"/>
          <w:szCs w:val="32"/>
          <w:lang w:val="en-US" w:eastAsia="zh-CN"/>
        </w:rPr>
        <w:t>继续开展“幸福河湖”建设、“清四乱”等行动。积极防范危险废物、重金属、新污染物等环境风险，扎实推进农业“三减”。推进城市绿化与景观提升，实施住宅小区、道路两侧等公共区域绿化补栽和景观带建设维护，整治公共绿地垦种等影响城市环境行为。</w:t>
      </w:r>
    </w:p>
    <w:p w14:paraId="63D94BB3">
      <w:pPr>
        <w:keepNext w:val="0"/>
        <w:keepLines w:val="0"/>
        <w:pageBreakBefore w:val="0"/>
        <w:kinsoku/>
        <w:wordWrap/>
        <w:overflowPunct/>
        <w:topLinePunct w:val="0"/>
        <w:autoSpaceDE/>
        <w:autoSpaceDN/>
        <w:bidi w:val="0"/>
        <w:adjustRightInd/>
        <w:snapToGrid/>
        <w:spacing w:line="592" w:lineRule="exact"/>
        <w:ind w:firstLine="687" w:firstLineChars="200"/>
        <w:jc w:val="both"/>
        <w:textAlignment w:val="auto"/>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pPr>
      <w:r>
        <w:rPr>
          <w:rFonts w:hint="eastAsia" w:ascii="楷体_GB2312" w:hAnsi="楷体_GB2312" w:eastAsia="楷体_GB2312" w:cs="楷体_GB2312"/>
          <w:b/>
          <w:bCs/>
          <w:spacing w:val="11"/>
          <w:sz w:val="32"/>
          <w:szCs w:val="32"/>
          <w:lang w:val="en-US" w:eastAsia="zh-CN"/>
        </w:rPr>
        <w:t>（五）惠民生、增福祉，共享发展新成果。</w:t>
      </w:r>
      <w:r>
        <w:rPr>
          <w:rFonts w:hint="eastAsia" w:ascii="仿宋_GB2312" w:hAnsi="仿宋_GB2312" w:eastAsia="仿宋_GB2312" w:cs="仿宋_GB2312"/>
          <w:b/>
          <w:bCs/>
          <w:spacing w:val="11"/>
          <w:sz w:val="32"/>
          <w:szCs w:val="32"/>
          <w:lang w:val="en-US" w:eastAsia="zh-CN"/>
        </w:rPr>
        <w:t>充分拓宽就业渠道。</w:t>
      </w:r>
      <w:r>
        <w:rPr>
          <w:rFonts w:hint="eastAsia" w:ascii="仿宋_GB2312" w:hAnsi="仿宋_GB2312" w:eastAsia="仿宋_GB2312" w:cs="仿宋_GB2312"/>
          <w:b w:val="0"/>
          <w:bCs w:val="0"/>
          <w:spacing w:val="11"/>
          <w:sz w:val="32"/>
          <w:szCs w:val="32"/>
          <w:lang w:val="en-US" w:eastAsia="zh-CN"/>
        </w:rPr>
        <w:t>实施稳岗扩容提质行动，提升公共就业服务能力。开展援助与培训专项行动，聚焦高校毕业生、农民工、退役军人等重点群体，精准匹配岗位资源与培训项目。加强劳动监察，维护劳动者权益，让就业更有保障。</w:t>
      </w:r>
      <w:r>
        <w:rPr>
          <w:rFonts w:hint="eastAsia" w:ascii="仿宋_GB2312" w:hAnsi="仿宋_GB2312" w:eastAsia="仿宋_GB2312" w:cs="仿宋_GB2312"/>
          <w:b/>
          <w:bCs/>
          <w:spacing w:val="11"/>
          <w:sz w:val="32"/>
          <w:szCs w:val="32"/>
          <w:lang w:val="en-US" w:eastAsia="zh-CN"/>
        </w:rPr>
        <w:t>均衡发展教体事业。</w:t>
      </w:r>
      <w:r>
        <w:rPr>
          <w:rFonts w:hint="eastAsia" w:ascii="仿宋_GB2312" w:hAnsi="仿宋_GB2312" w:eastAsia="仿宋_GB2312" w:cs="仿宋_GB2312"/>
          <w:b w:val="0"/>
          <w:bCs w:val="0"/>
          <w:spacing w:val="11"/>
          <w:sz w:val="32"/>
          <w:szCs w:val="32"/>
          <w:lang w:val="en-US" w:eastAsia="zh-CN"/>
        </w:rPr>
        <w:t>实施扩优提质工程，加大教师培育力度，巩固“双减”工作成果，全面提升教学质量。加快完善公共体育馆、公园等全民健身场地设施，完成老年门球活动场地和室外羽毛球健身场地建设，满足群众多元化、多层次健身需求。发展学生冰雪体育运动，推动体育事业再上新台阶。推动优质医疗资源下沉，完善家庭医生签约服务，将普惠医疗服务延伸至基层末梢。推进区人民医院康复护理升级，完成东保卫、七星等</w:t>
      </w:r>
      <w:r>
        <w:rPr>
          <w:rFonts w:hint="default" w:ascii="Times New Roman" w:hAnsi="Times New Roman" w:eastAsia="仿宋_GB2312" w:cs="Times New Roman"/>
          <w:b w:val="0"/>
          <w:bCs w:val="0"/>
          <w:spacing w:val="11"/>
          <w:sz w:val="32"/>
          <w:szCs w:val="32"/>
          <w:lang w:val="en-US" w:eastAsia="zh-CN"/>
        </w:rPr>
        <w:t>3</w:t>
      </w:r>
      <w:r>
        <w:rPr>
          <w:rFonts w:hint="eastAsia" w:ascii="仿宋_GB2312" w:hAnsi="仿宋_GB2312" w:eastAsia="仿宋_GB2312" w:cs="仿宋_GB2312"/>
          <w:b w:val="0"/>
          <w:bCs w:val="0"/>
          <w:spacing w:val="11"/>
          <w:sz w:val="32"/>
          <w:szCs w:val="32"/>
          <w:lang w:val="en-US" w:eastAsia="zh-CN"/>
        </w:rPr>
        <w:t>家社区卫生服务站改造。</w:t>
      </w:r>
      <w:r>
        <w:rPr>
          <w:rFonts w:hint="eastAsia" w:ascii="仿宋_GB2312" w:hAnsi="仿宋_GB2312" w:eastAsia="仿宋_GB2312" w:cs="仿宋_GB2312"/>
          <w:b/>
          <w:bCs/>
          <w:spacing w:val="11"/>
          <w:sz w:val="32"/>
          <w:szCs w:val="32"/>
          <w:lang w:val="en-US" w:eastAsia="zh-CN"/>
        </w:rPr>
        <w:t>繁荣发展文化事业。</w:t>
      </w:r>
      <w:r>
        <w:rPr>
          <w:rFonts w:hint="eastAsia" w:ascii="仿宋_GB2312" w:hAnsi="仿宋_GB2312" w:eastAsia="仿宋_GB2312" w:cs="仿宋_GB2312"/>
          <w:b w:val="0"/>
          <w:bCs w:val="0"/>
          <w:spacing w:val="11"/>
          <w:sz w:val="32"/>
          <w:szCs w:val="32"/>
          <w:lang w:val="en-US" w:eastAsia="zh-CN"/>
        </w:rPr>
        <w:t>深入实施文化惠民工程，加强公共文化阵地建设，广泛开展各类文化活动。加强历史和非物质文化遗产保护传承，推动骨编、老东北银器制作技艺等非遗项目做大做强，守护文化根脉。</w:t>
      </w:r>
    </w:p>
    <w:p w14:paraId="7EF40C28">
      <w:pPr>
        <w:keepNext w:val="0"/>
        <w:keepLines w:val="0"/>
        <w:pageBreakBefore w:val="0"/>
        <w:kinsoku/>
        <w:wordWrap/>
        <w:overflowPunct/>
        <w:topLinePunct w:val="0"/>
        <w:autoSpaceDE/>
        <w:autoSpaceDN/>
        <w:bidi w:val="0"/>
        <w:adjustRightInd/>
        <w:snapToGrid/>
        <w:spacing w:line="592" w:lineRule="exact"/>
        <w:ind w:firstLine="687"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楷体_GB2312" w:hAnsi="楷体_GB2312" w:eastAsia="楷体_GB2312" w:cs="楷体_GB2312"/>
          <w:b/>
          <w:bCs/>
          <w:spacing w:val="11"/>
          <w:sz w:val="32"/>
          <w:szCs w:val="32"/>
          <w:lang w:val="en-US" w:eastAsia="zh-CN"/>
        </w:rPr>
        <w:t>（六）强治理、守底线，筑牢安全新屏障。从严抓好安全生产。</w:t>
      </w:r>
      <w:r>
        <w:rPr>
          <w:rFonts w:hint="eastAsia" w:ascii="仿宋_GB2312" w:hAnsi="仿宋_GB2312" w:eastAsia="仿宋_GB2312" w:cs="仿宋_GB2312"/>
          <w:b w:val="0"/>
          <w:bCs w:val="0"/>
          <w:spacing w:val="11"/>
          <w:sz w:val="32"/>
          <w:szCs w:val="32"/>
          <w:lang w:val="en-US" w:eastAsia="zh-CN"/>
        </w:rPr>
        <w:t>扎实推进安全生产治本攻坚三年行动和“查风险、除隐患、防事故”安全生产专项行动。全面提升煤矿本质安全水平，督导煤矿企业配齐配强专业人员，高标准完善基础设施，使管理制度更科学、管理效能更高效。持续落实“查改督”一体化机制，以全链条监管压实各方责任，高效率、高标准、高质量推动重大隐患动态清零。常态化加强非煤矿山、道路交通、建筑施工等重点领域安全监管。强化应急体系建设，健全应急处置机制，充实应急物资储备，定期开展知识培训和实战演练，提升安全防范意识和应急处置能力，坚决防范重特大安全事故发生。</w:t>
      </w:r>
      <w:r>
        <w:rPr>
          <w:rFonts w:hint="eastAsia" w:ascii="仿宋_GB2312" w:hAnsi="仿宋_GB2312" w:eastAsia="仿宋_GB2312" w:cs="仿宋_GB2312"/>
          <w:b/>
          <w:bCs/>
          <w:color w:val="000000" w:themeColor="text1"/>
          <w:spacing w:val="11"/>
          <w:sz w:val="32"/>
          <w:szCs w:val="32"/>
          <w14:textFill>
            <w14:solidFill>
              <w14:schemeClr w14:val="tx1"/>
            </w14:solidFill>
          </w14:textFill>
        </w:rPr>
        <w:t>统筹发展和安全。</w:t>
      </w:r>
      <w:r>
        <w:rPr>
          <w:rFonts w:hint="eastAsia" w:ascii="仿宋_GB2312" w:hAnsi="仿宋_GB2312" w:eastAsia="仿宋_GB2312" w:cs="仿宋_GB2312"/>
          <w:b w:val="0"/>
          <w:bCs w:val="0"/>
          <w:color w:val="000000" w:themeColor="text1"/>
          <w:spacing w:val="11"/>
          <w:sz w:val="32"/>
          <w:szCs w:val="32"/>
          <w14:textFill>
            <w14:solidFill>
              <w14:schemeClr w14:val="tx1"/>
            </w14:solidFill>
          </w14:textFill>
        </w:rPr>
        <w:t>坚</w:t>
      </w:r>
      <w:r>
        <w:rPr>
          <w:rFonts w:hint="eastAsia" w:ascii="仿宋_GB2312" w:hAnsi="仿宋_GB2312" w:eastAsia="仿宋_GB2312" w:cs="仿宋_GB2312"/>
          <w:color w:val="000000" w:themeColor="text1"/>
          <w:spacing w:val="11"/>
          <w:sz w:val="32"/>
          <w:szCs w:val="32"/>
          <w14:textFill>
            <w14:solidFill>
              <w14:schemeClr w14:val="tx1"/>
            </w14:solidFill>
          </w14:textFill>
        </w:rPr>
        <w:t>决扛起维护国家“五大安全”政治责任，坚持总体国家安全观，增强忧患意识，抓好存量风险化解和增量风险防范，加强政府债务管理，加大非法集资整治力度</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w:t>
      </w:r>
      <w:r>
        <w:rPr>
          <w:rFonts w:hint="eastAsia" w:ascii="Times New Roman" w:hAnsi="Times New Roman" w:eastAsia="仿宋_GB2312" w:cs="Times New Roman"/>
          <w:spacing w:val="11"/>
          <w:sz w:val="32"/>
          <w:szCs w:val="32"/>
          <w:lang w:val="en-US" w:eastAsia="zh-CN"/>
        </w:rPr>
        <w:t>常</w:t>
      </w:r>
      <w:r>
        <w:rPr>
          <w:rFonts w:hint="eastAsia" w:ascii="仿宋_GB2312" w:hAnsi="仿宋_GB2312" w:eastAsia="仿宋_GB2312" w:cs="仿宋_GB2312"/>
          <w:b w:val="0"/>
          <w:bCs w:val="0"/>
          <w:spacing w:val="11"/>
          <w:sz w:val="32"/>
          <w:szCs w:val="32"/>
          <w:lang w:val="en-US" w:eastAsia="zh-CN"/>
        </w:rPr>
        <w:t>态化开展扫黑除恶斗争，严厉打击侵财、涉枪涉爆、电信网络诈骗、食药环领域、黄赌毒、盗抢骗、涉众型经济犯罪等违法犯罪活动。坚决守住不发生系统性、区域性风险底线。</w:t>
      </w:r>
    </w:p>
    <w:p w14:paraId="1B985444">
      <w:pPr>
        <w:keepNext w:val="0"/>
        <w:keepLines w:val="0"/>
        <w:pageBreakBefore w:val="0"/>
        <w:widowControl w:val="0"/>
        <w:kinsoku/>
        <w:wordWrap/>
        <w:overflowPunct/>
        <w:topLinePunct w:val="0"/>
        <w:autoSpaceDE/>
        <w:autoSpaceDN/>
        <w:bidi w:val="0"/>
        <w:adjustRightInd/>
        <w:snapToGrid/>
        <w:spacing w:line="592" w:lineRule="exact"/>
        <w:ind w:firstLine="687" w:firstLineChars="200"/>
        <w:jc w:val="both"/>
        <w:textAlignment w:val="auto"/>
        <w:rPr>
          <w:rFonts w:hint="eastAsia" w:ascii="仿宋_GB2312" w:hAnsi="仿宋_GB2312" w:eastAsia="仿宋_GB2312" w:cs="仿宋_GB2312"/>
          <w:spacing w:val="11"/>
          <w:sz w:val="32"/>
          <w:szCs w:val="32"/>
          <w:lang w:val="en-US" w:eastAsia="zh-CN"/>
        </w:rPr>
      </w:pPr>
      <w:r>
        <w:rPr>
          <w:rFonts w:hint="eastAsia" w:ascii="楷体_GB2312" w:hAnsi="楷体_GB2312" w:eastAsia="楷体_GB2312" w:cs="楷体_GB2312"/>
          <w:b/>
          <w:bCs/>
          <w:spacing w:val="11"/>
          <w:sz w:val="32"/>
          <w:szCs w:val="32"/>
          <w:lang w:val="en-US" w:eastAsia="zh-CN"/>
        </w:rPr>
        <w:t>（七）严法治、正风纪，书写满意新答卷。</w:t>
      </w:r>
      <w:r>
        <w:rPr>
          <w:rFonts w:hint="eastAsia" w:ascii="仿宋_GB2312" w:hAnsi="仿宋_GB2312" w:eastAsia="仿宋_GB2312" w:cs="仿宋_GB2312"/>
          <w:b w:val="0"/>
          <w:bCs w:val="0"/>
          <w:spacing w:val="11"/>
          <w:sz w:val="32"/>
          <w:szCs w:val="32"/>
          <w:lang w:val="en-US" w:eastAsia="zh-CN"/>
        </w:rPr>
        <w:t>以建设人民满意的服务型政府为目标，持续深化政府自身建设，以过硬作风护航高质量发展。</w:t>
      </w:r>
      <w:r>
        <w:rPr>
          <w:rFonts w:hint="eastAsia" w:ascii="仿宋_GB2312" w:hAnsi="仿宋_GB2312" w:eastAsia="仿宋_GB2312" w:cs="仿宋_GB2312"/>
          <w:b/>
          <w:bCs/>
          <w:spacing w:val="11"/>
          <w:sz w:val="32"/>
          <w:szCs w:val="32"/>
          <w:lang w:val="en-US" w:eastAsia="zh-CN"/>
        </w:rPr>
        <w:t>健全制度强执行。</w:t>
      </w:r>
      <w:r>
        <w:rPr>
          <w:rFonts w:hint="eastAsia" w:ascii="仿宋_GB2312" w:hAnsi="仿宋_GB2312" w:eastAsia="仿宋_GB2312" w:cs="仿宋_GB2312"/>
          <w:b w:val="0"/>
          <w:bCs w:val="0"/>
          <w:spacing w:val="11"/>
          <w:sz w:val="32"/>
          <w:szCs w:val="32"/>
          <w:lang w:val="en-US" w:eastAsia="zh-CN"/>
        </w:rPr>
        <w:t>完善政府工作规则、重大行政决策程序等核心制度体系，细化议事决策、督查考核、闭环管理等配套方案。严格执行制度刚性约束，强化决策部署跟踪问效，确保各项工作流程规范、权责明晰、执行到位，以制度落实保障政府运行不偏航、不走样。</w:t>
      </w:r>
      <w:r>
        <w:rPr>
          <w:rFonts w:hint="eastAsia" w:ascii="仿宋_GB2312" w:hAnsi="仿宋_GB2312" w:eastAsia="仿宋_GB2312" w:cs="仿宋_GB2312"/>
          <w:b/>
          <w:bCs/>
          <w:spacing w:val="11"/>
          <w:sz w:val="32"/>
          <w:szCs w:val="32"/>
          <w:lang w:val="en-US" w:eastAsia="zh-CN"/>
        </w:rPr>
        <w:t>依法行政守底线。</w:t>
      </w:r>
      <w:r>
        <w:rPr>
          <w:rFonts w:hint="eastAsia" w:ascii="仿宋_GB2312" w:hAnsi="仿宋_GB2312" w:eastAsia="仿宋_GB2312" w:cs="仿宋_GB2312"/>
          <w:b w:val="0"/>
          <w:bCs w:val="0"/>
          <w:spacing w:val="11"/>
          <w:sz w:val="32"/>
          <w:szCs w:val="32"/>
          <w:lang w:val="en-US" w:eastAsia="zh-CN"/>
        </w:rPr>
        <w:t>坚守法定职责必须为、法无授权不可为，严格遵守宪法法律，全面推进严格规范公正文明执法。自觉接受人大监督、民主监督与社会舆论监督，深化府院联动、府检联动，抓实“九五”普法，让行政行为始终在法治轨道上运行。大兴调查研究，落实“四下基层”制度，坚决纠治形式主义、官僚主义，持续为基层减负。坚持问题导向、结果导向，力戒虚功、务求实效。</w:t>
      </w:r>
      <w:r>
        <w:rPr>
          <w:rFonts w:hint="eastAsia" w:ascii="仿宋_GB2312" w:hAnsi="仿宋_GB2312" w:eastAsia="仿宋_GB2312" w:cs="仿宋_GB2312"/>
          <w:b/>
          <w:bCs/>
          <w:spacing w:val="11"/>
          <w:sz w:val="32"/>
          <w:szCs w:val="32"/>
          <w:lang w:val="en-US" w:eastAsia="zh-CN"/>
        </w:rPr>
        <w:t>正风肃纪守清廉。</w:t>
      </w:r>
      <w:r>
        <w:rPr>
          <w:rFonts w:hint="eastAsia" w:ascii="仿宋_GB2312" w:hAnsi="仿宋_GB2312" w:eastAsia="仿宋_GB2312" w:cs="仿宋_GB2312"/>
          <w:b w:val="0"/>
          <w:bCs w:val="0"/>
          <w:spacing w:val="11"/>
          <w:sz w:val="32"/>
          <w:szCs w:val="32"/>
          <w:lang w:val="en-US" w:eastAsia="zh-CN"/>
        </w:rPr>
        <w:t>纵深推进党风廉政建设和反腐败斗争，锲而不舍落实中央八项规定精神，坚决纠治享乐主义、奢靡之风。聚焦工程建设、国资国企、财政资金使用等重点领域，健全权力制约监督机制，扎紧制度笼子，强化审计监督，推动干部清正、政府清廉、政治清明。</w:t>
      </w:r>
    </w:p>
    <w:p w14:paraId="1E55AB3F">
      <w:pPr>
        <w:keepNext w:val="0"/>
        <w:keepLines w:val="0"/>
        <w:pageBreakBefore w:val="0"/>
        <w:widowControl w:val="0"/>
        <w:kinsoku/>
        <w:wordWrap/>
        <w:overflowPunct/>
        <w:topLinePunct w:val="0"/>
        <w:autoSpaceDE/>
        <w:autoSpaceDN/>
        <w:bidi w:val="0"/>
        <w:adjustRightInd/>
        <w:snapToGrid/>
        <w:spacing w:line="592" w:lineRule="exact"/>
        <w:ind w:firstLine="687" w:firstLineChars="200"/>
        <w:textAlignment w:val="auto"/>
        <w:rPr>
          <w:rFonts w:hint="eastAsia" w:ascii="仿宋_GB2312" w:hAnsi="仿宋_GB2312" w:eastAsia="仿宋_GB2312" w:cs="仿宋_GB2312"/>
          <w:b w:val="0"/>
          <w:bCs w:val="0"/>
          <w:spacing w:val="11"/>
          <w:sz w:val="32"/>
          <w:szCs w:val="32"/>
          <w:lang w:val="en-US" w:eastAsia="zh-CN"/>
        </w:rPr>
      </w:pPr>
      <w:r>
        <w:rPr>
          <w:rFonts w:hint="eastAsia" w:ascii="楷体_GB2312" w:hAnsi="楷体_GB2312" w:eastAsia="楷体_GB2312" w:cs="楷体_GB2312"/>
          <w:b/>
          <w:bCs/>
          <w:spacing w:val="11"/>
          <w:sz w:val="32"/>
          <w:szCs w:val="32"/>
          <w:lang w:val="en-US" w:eastAsia="zh-CN"/>
        </w:rPr>
        <w:t>（八）坚守为民情怀，树牢正确政绩观，深入开展群众身边不正之风和腐败问题集中整治。</w:t>
      </w:r>
      <w:r>
        <w:rPr>
          <w:rFonts w:hint="eastAsia" w:ascii="仿宋_GB2312" w:hAnsi="仿宋_GB2312" w:eastAsia="仿宋_GB2312" w:cs="仿宋_GB2312"/>
          <w:b w:val="0"/>
          <w:bCs w:val="0"/>
          <w:spacing w:val="11"/>
          <w:sz w:val="32"/>
          <w:szCs w:val="32"/>
          <w:lang w:val="en-US" w:eastAsia="zh-CN"/>
        </w:rPr>
        <w:t>聚焦群众急难愁盼，将群众身边不正之风和腐败问题集中整治摆在当前及今后工作的突出位置，把民生实事纳入年度经济社会发展重点任务，统筹谋划、一体部署、协同推进、同步考核，确保与政府中心工作同向发力、同频共振。</w:t>
      </w:r>
      <w:r>
        <w:rPr>
          <w:rFonts w:hint="eastAsia" w:ascii="仿宋_GB2312" w:hAnsi="仿宋_GB2312" w:eastAsia="仿宋_GB2312" w:cs="仿宋_GB2312"/>
          <w:b/>
          <w:bCs/>
          <w:spacing w:val="11"/>
          <w:sz w:val="32"/>
          <w:szCs w:val="32"/>
          <w:lang w:val="en-US" w:eastAsia="zh-CN"/>
        </w:rPr>
        <w:t>锚定责任强根基。</w:t>
      </w:r>
      <w:r>
        <w:rPr>
          <w:rFonts w:hint="eastAsia" w:ascii="仿宋_GB2312" w:hAnsi="仿宋_GB2312" w:eastAsia="仿宋_GB2312" w:cs="仿宋_GB2312"/>
          <w:b w:val="0"/>
          <w:bCs w:val="0"/>
          <w:spacing w:val="11"/>
          <w:sz w:val="32"/>
          <w:szCs w:val="32"/>
          <w:lang w:val="en-US" w:eastAsia="zh-CN"/>
        </w:rPr>
        <w:t>落实“政府主抓、分管领导主推、部门主办”责任，确保整治任务层层压实、落地见效。深化专班推动责任，动态开展“四大工程、十一项行动、四十件民生实事”，聚力攻坚医保基金管理、社会救助不到位、乡村振兴资金使用和食品安全等专项领域整治工作。树立全局思维，加强巡视、巡察、审计、信访等工作融合结合，健全信息共享、问题共治的协同机制，提升整治工作系统性和针对性。持续推进信访工作法治化，畅通诉求表达渠道，严格落实领导干部“三访一包”工作责任，开展信访化解攻坚年行动，全力治重化积，减存量、控增量，针对重点领域、重点群体加大矛盾纠纷排查、调处、化解力度，把矛盾化解在基层。</w:t>
      </w:r>
      <w:r>
        <w:rPr>
          <w:rFonts w:hint="eastAsia" w:ascii="仿宋_GB2312" w:hAnsi="仿宋_GB2312" w:eastAsia="仿宋_GB2312" w:cs="仿宋_GB2312"/>
          <w:b/>
          <w:bCs/>
          <w:spacing w:val="11"/>
          <w:sz w:val="32"/>
          <w:szCs w:val="32"/>
          <w:lang w:val="en-US" w:eastAsia="zh-CN"/>
        </w:rPr>
        <w:t>锤炼作风提能力。</w:t>
      </w:r>
      <w:r>
        <w:rPr>
          <w:rFonts w:hint="eastAsia" w:ascii="仿宋_GB2312" w:hAnsi="仿宋_GB2312" w:eastAsia="仿宋_GB2312" w:cs="仿宋_GB2312"/>
          <w:b w:val="0"/>
          <w:bCs w:val="0"/>
          <w:spacing w:val="11"/>
          <w:sz w:val="32"/>
          <w:szCs w:val="32"/>
          <w:lang w:val="en-US" w:eastAsia="zh-CN"/>
        </w:rPr>
        <w:t>持续以作风大整顿推动“群腐”大整治，深入开展“大整顿、大提升、大走访、大整治”，坚持问需于民、问计于民，切实以作风建设新成效护航区域高质量发展。推进干部队伍专业化建设，围绕项目攻坚、基层治理、应急处置等关键领域开展精准化业务实训，搭建实践锻炼平台，以实干实战为抓手，全面提升干部的政治素养、专业能力与履职本领，有效激发干部队伍干事创业活力，着力营造比学赶超、争先进位的浓厚氛围。坚持问题导向，采取超常规举措推进群众意见诉求办理工作，建立诉求收集、分流、办理、反馈全闭环机制，逐件梳理、逐项攻坚，推动各类意见诉求清仓见底、动态清零。</w:t>
      </w:r>
      <w:r>
        <w:rPr>
          <w:rFonts w:hint="eastAsia" w:ascii="仿宋_GB2312" w:hAnsi="仿宋_GB2312" w:eastAsia="仿宋_GB2312" w:cs="仿宋_GB2312"/>
          <w:b/>
          <w:bCs/>
          <w:spacing w:val="11"/>
          <w:sz w:val="32"/>
          <w:szCs w:val="32"/>
          <w:lang w:val="en-US" w:eastAsia="zh-CN"/>
        </w:rPr>
        <w:t>聚焦落实见真章。</w:t>
      </w:r>
      <w:r>
        <w:rPr>
          <w:rFonts w:hint="eastAsia" w:ascii="仿宋_GB2312" w:hAnsi="仿宋_GB2312" w:eastAsia="仿宋_GB2312" w:cs="仿宋_GB2312"/>
          <w:b w:val="0"/>
          <w:bCs w:val="0"/>
          <w:spacing w:val="11"/>
          <w:sz w:val="32"/>
          <w:szCs w:val="32"/>
          <w:lang w:val="en-US" w:eastAsia="zh-CN"/>
        </w:rPr>
        <w:t>以保障为基础、帮扶为抓手、服务为核心，持续提升群众幸福指数。推进以C、D级危房为重点的闲置平房安置工作，采取建档预安置与异地安置相结合方式，努力逐步消除存量平房。严格依照《黑龙江省住宅物业管理条例》规范物业经营行为，加快推动“弃管”小区成立业主委员会，力争实现物业管理全覆盖。持续开展煤矸石综合治理、废弃地复垦绿化、废弃矿山治理、老旧小区墙体粉刷、沉陷废弃区治理和破损房屋修缮。实施产业发展促就业行动，全力服务地方煤矿复工复产、光伏、石墨等项目投产，继续壮大设施农业规模，力争新增</w:t>
      </w:r>
      <w:r>
        <w:rPr>
          <w:rFonts w:hint="eastAsia" w:ascii="Times New Roman" w:hAnsi="Times New Roman" w:eastAsia="仿宋_GB2312" w:cs="Times New Roman"/>
          <w:b w:val="0"/>
          <w:bCs w:val="0"/>
          <w:spacing w:val="11"/>
          <w:sz w:val="32"/>
          <w:szCs w:val="32"/>
          <w:lang w:val="en-US" w:eastAsia="zh-CN"/>
        </w:rPr>
        <w:t>就业2000人，以产业发展带动</w:t>
      </w:r>
      <w:r>
        <w:rPr>
          <w:rFonts w:hint="eastAsia" w:ascii="仿宋_GB2312" w:hAnsi="仿宋_GB2312" w:eastAsia="仿宋_GB2312" w:cs="仿宋_GB2312"/>
          <w:b w:val="0"/>
          <w:bCs w:val="0"/>
          <w:spacing w:val="11"/>
          <w:sz w:val="32"/>
          <w:szCs w:val="32"/>
          <w:lang w:val="en-US" w:eastAsia="zh-CN"/>
        </w:rPr>
        <w:t>居民增收。统筹区域资源，推动国企、森工、双矿、农场基础设施更新与城市焕新行动同步，群众活动场所资源共享。加大惠民政策宣传解读力度，精准落实低保、特困等惠民政策，提供“零距离”便民服务。加快推动宝山区综合型养老服务中心建设，全力推</w:t>
      </w:r>
      <w:r>
        <w:rPr>
          <w:rFonts w:hint="eastAsia" w:ascii="仿宋_GB2312" w:hAnsi="仿宋_GB2312" w:eastAsia="仿宋_GB2312" w:cs="仿宋_GB2312"/>
          <w:spacing w:val="11"/>
          <w:sz w:val="32"/>
          <w:szCs w:val="32"/>
          <w:lang w:val="en-US" w:eastAsia="zh-CN"/>
        </w:rPr>
        <w:t>进</w:t>
      </w:r>
      <w:r>
        <w:rPr>
          <w:rFonts w:hint="eastAsia" w:ascii="仿宋_GB2312" w:hAnsi="仿宋_GB2312" w:eastAsia="仿宋_GB2312" w:cs="仿宋_GB2312"/>
          <w:b w:val="0"/>
          <w:bCs w:val="0"/>
          <w:spacing w:val="11"/>
          <w:sz w:val="32"/>
          <w:szCs w:val="32"/>
          <w:lang w:val="en-US" w:eastAsia="zh-CN"/>
        </w:rPr>
        <w:t>2个街道养老服务中心、</w:t>
      </w:r>
      <w:r>
        <w:rPr>
          <w:rFonts w:hint="default" w:ascii="Times New Roman" w:hAnsi="Times New Roman" w:eastAsia="仿宋_GB2312" w:cs="Times New Roman"/>
          <w:b w:val="0"/>
          <w:bCs w:val="0"/>
          <w:spacing w:val="11"/>
          <w:sz w:val="32"/>
          <w:szCs w:val="32"/>
          <w:lang w:val="en-US" w:eastAsia="zh-CN"/>
        </w:rPr>
        <w:t>4</w:t>
      </w:r>
      <w:r>
        <w:rPr>
          <w:rFonts w:hint="eastAsia" w:ascii="仿宋_GB2312" w:hAnsi="仿宋_GB2312" w:eastAsia="仿宋_GB2312" w:cs="仿宋_GB2312"/>
          <w:b w:val="0"/>
          <w:bCs w:val="0"/>
          <w:spacing w:val="11"/>
          <w:sz w:val="32"/>
          <w:szCs w:val="32"/>
          <w:lang w:val="en-US" w:eastAsia="zh-CN"/>
        </w:rPr>
        <w:t>个社区养老服务站点建成投用，构建城乡三级养老服务体系，继续落实医疗服务“六免四送一延伸”政策，着力实现“老有所养、老有所医”。推进养老服务场所规范化、制度化管理，持续深化“四共”监管长效运营机制。构建社区牵头、居民自治的管理体系，管好、用好群众活动阵地，确保场所安全洁净、高效运转。健全区、街道（镇）、社区（村）三级治理体系，深化“党建+网格”治理模式，充分发挥社会组织桥梁纽带作用，引导群众主动参与基层治理，构建共建共治共享基层治理格局，实现治理服务全覆盖、无死角。</w:t>
      </w:r>
    </w:p>
    <w:p w14:paraId="2446A173">
      <w:pPr>
        <w:keepNext w:val="0"/>
        <w:keepLines w:val="0"/>
        <w:pageBreakBefore w:val="0"/>
        <w:widowControl w:val="0"/>
        <w:kinsoku/>
        <w:wordWrap/>
        <w:overflowPunct/>
        <w:topLinePunct w:val="0"/>
        <w:autoSpaceDE/>
        <w:autoSpaceDN/>
        <w:bidi w:val="0"/>
        <w:adjustRightInd/>
        <w:snapToGrid/>
        <w:spacing w:line="592" w:lineRule="exact"/>
        <w:ind w:firstLine="684"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各位代表！</w:t>
      </w:r>
      <w:r>
        <w:rPr>
          <w:rFonts w:hint="eastAsia" w:ascii="仿宋_GB2312" w:hAnsi="仿宋_GB2312" w:eastAsia="仿宋_GB2312" w:cs="仿宋_GB2312"/>
          <w:spacing w:val="11"/>
          <w:sz w:val="32"/>
          <w:szCs w:val="32"/>
          <w:lang w:val="en-US" w:eastAsia="zh-CN"/>
        </w:rPr>
        <w:t>新起点启迪新征程，新目标寓意新希望。让我们高举习近平新时代中国特色社会主义思想伟大旗帜，在市委、市政府和区委的坚强领导下，在区人大、区政协的监督支持下，紧紧依靠全区人民，以敢为人先、勇争一流的精神抓发展，以踏石留印、抓铁有痕的劲头促落实，不忘初心、砥砺前行，</w:t>
      </w:r>
      <w:r>
        <w:rPr>
          <w:rFonts w:hint="eastAsia" w:ascii="仿宋_GB2312" w:hAnsi="仿宋_GB2312" w:eastAsia="仿宋_GB2312" w:cs="仿宋_GB2312"/>
          <w:color w:val="auto"/>
          <w:spacing w:val="11"/>
          <w:sz w:val="32"/>
          <w:szCs w:val="32"/>
          <w:lang w:val="en-US" w:eastAsia="zh-CN"/>
        </w:rPr>
        <w:t>为建设社会主义现代化强区而努力奋斗</w:t>
      </w:r>
      <w:r>
        <w:rPr>
          <w:rFonts w:hint="eastAsia" w:ascii="仿宋_GB2312" w:hAnsi="仿宋_GB2312" w:eastAsia="仿宋_GB2312" w:cs="仿宋_GB2312"/>
          <w:spacing w:val="11"/>
          <w:sz w:val="32"/>
          <w:szCs w:val="32"/>
          <w:lang w:val="en-US" w:eastAsia="zh-CN"/>
        </w:rPr>
        <w:t>！</w:t>
      </w:r>
    </w:p>
    <w:p w14:paraId="6304FA69">
      <w:pPr>
        <w:keepNext w:val="0"/>
        <w:keepLines w:val="0"/>
        <w:pageBreakBefore w:val="0"/>
        <w:kinsoku/>
        <w:wordWrap/>
        <w:overflowPunct/>
        <w:topLinePunct w:val="0"/>
        <w:autoSpaceDE/>
        <w:autoSpaceDN/>
        <w:bidi w:val="0"/>
        <w:adjustRightInd/>
        <w:snapToGrid/>
        <w:spacing w:line="592" w:lineRule="exact"/>
        <w:ind w:firstLine="684"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谢谢大家！</w:t>
      </w: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460E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72A00">
                          <w:pPr>
                            <w:pStyle w:val="9"/>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172A00">
                    <w:pPr>
                      <w:pStyle w:val="9"/>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A826CA"/>
    <w:rsid w:val="022268E1"/>
    <w:rsid w:val="023B1653"/>
    <w:rsid w:val="050D4152"/>
    <w:rsid w:val="071C5217"/>
    <w:rsid w:val="07727AEC"/>
    <w:rsid w:val="084710BF"/>
    <w:rsid w:val="08537052"/>
    <w:rsid w:val="08D771A0"/>
    <w:rsid w:val="08F06D72"/>
    <w:rsid w:val="0A8F67AE"/>
    <w:rsid w:val="0B4171C2"/>
    <w:rsid w:val="0CAE4E95"/>
    <w:rsid w:val="0E0127B9"/>
    <w:rsid w:val="0E9244A6"/>
    <w:rsid w:val="0FA17D77"/>
    <w:rsid w:val="110A325A"/>
    <w:rsid w:val="11CA3D99"/>
    <w:rsid w:val="12B93774"/>
    <w:rsid w:val="12F43462"/>
    <w:rsid w:val="135F1505"/>
    <w:rsid w:val="187C42BA"/>
    <w:rsid w:val="1954613F"/>
    <w:rsid w:val="1A586B42"/>
    <w:rsid w:val="1A920AEA"/>
    <w:rsid w:val="1B3715B1"/>
    <w:rsid w:val="1D401862"/>
    <w:rsid w:val="1D452655"/>
    <w:rsid w:val="1D544F92"/>
    <w:rsid w:val="1DC928BA"/>
    <w:rsid w:val="1ED41DE9"/>
    <w:rsid w:val="202A71CC"/>
    <w:rsid w:val="208D718B"/>
    <w:rsid w:val="21CA4835"/>
    <w:rsid w:val="233174FD"/>
    <w:rsid w:val="23356241"/>
    <w:rsid w:val="233D5A99"/>
    <w:rsid w:val="23D63FF3"/>
    <w:rsid w:val="254358C8"/>
    <w:rsid w:val="25A35DDE"/>
    <w:rsid w:val="26C06E47"/>
    <w:rsid w:val="26DB07AB"/>
    <w:rsid w:val="26FD4FBD"/>
    <w:rsid w:val="27802801"/>
    <w:rsid w:val="279E0EBE"/>
    <w:rsid w:val="27BB3C6F"/>
    <w:rsid w:val="27D322D1"/>
    <w:rsid w:val="2A505DB2"/>
    <w:rsid w:val="2A5D1AEA"/>
    <w:rsid w:val="2A735316"/>
    <w:rsid w:val="2AFE6A0D"/>
    <w:rsid w:val="2C084380"/>
    <w:rsid w:val="2DBC4D06"/>
    <w:rsid w:val="2F8F7CDA"/>
    <w:rsid w:val="2FDE7F02"/>
    <w:rsid w:val="2FE65841"/>
    <w:rsid w:val="2FFB336C"/>
    <w:rsid w:val="31631E6F"/>
    <w:rsid w:val="32EE2EB8"/>
    <w:rsid w:val="334A07B9"/>
    <w:rsid w:val="33585AAE"/>
    <w:rsid w:val="3407398E"/>
    <w:rsid w:val="343058F2"/>
    <w:rsid w:val="344B209A"/>
    <w:rsid w:val="3477758D"/>
    <w:rsid w:val="355A1D74"/>
    <w:rsid w:val="35BD2B01"/>
    <w:rsid w:val="361D3932"/>
    <w:rsid w:val="387C6EB9"/>
    <w:rsid w:val="38F65E3D"/>
    <w:rsid w:val="393D0158"/>
    <w:rsid w:val="3CF772CF"/>
    <w:rsid w:val="3D097534"/>
    <w:rsid w:val="3D611A11"/>
    <w:rsid w:val="3DCE6A66"/>
    <w:rsid w:val="3FF9738F"/>
    <w:rsid w:val="40BB4E3A"/>
    <w:rsid w:val="41050EB2"/>
    <w:rsid w:val="422E3E2B"/>
    <w:rsid w:val="426B6130"/>
    <w:rsid w:val="43A36F7E"/>
    <w:rsid w:val="43BB700C"/>
    <w:rsid w:val="43CA3387"/>
    <w:rsid w:val="454E16C4"/>
    <w:rsid w:val="46EF2689"/>
    <w:rsid w:val="48091DA6"/>
    <w:rsid w:val="48E9610D"/>
    <w:rsid w:val="4A2F4DB2"/>
    <w:rsid w:val="4A361719"/>
    <w:rsid w:val="4C7D639E"/>
    <w:rsid w:val="4D032179"/>
    <w:rsid w:val="4E151983"/>
    <w:rsid w:val="4FB539C5"/>
    <w:rsid w:val="4FFF25C4"/>
    <w:rsid w:val="51F7605E"/>
    <w:rsid w:val="52DF4334"/>
    <w:rsid w:val="54A62C30"/>
    <w:rsid w:val="55AE3E83"/>
    <w:rsid w:val="56910348"/>
    <w:rsid w:val="57A4573B"/>
    <w:rsid w:val="58373E7D"/>
    <w:rsid w:val="58EC563B"/>
    <w:rsid w:val="59056280"/>
    <w:rsid w:val="597B6FA5"/>
    <w:rsid w:val="59C51417"/>
    <w:rsid w:val="5BBD7856"/>
    <w:rsid w:val="5C7E27CD"/>
    <w:rsid w:val="5D891708"/>
    <w:rsid w:val="5DAA3B58"/>
    <w:rsid w:val="5E771502"/>
    <w:rsid w:val="5F0967F6"/>
    <w:rsid w:val="5FB90E23"/>
    <w:rsid w:val="60EF2DE7"/>
    <w:rsid w:val="6199708B"/>
    <w:rsid w:val="61DF7D53"/>
    <w:rsid w:val="62A142DD"/>
    <w:rsid w:val="62EE1BE2"/>
    <w:rsid w:val="65595D16"/>
    <w:rsid w:val="6643287A"/>
    <w:rsid w:val="6664612F"/>
    <w:rsid w:val="66B0201E"/>
    <w:rsid w:val="698C2CAC"/>
    <w:rsid w:val="69E42AD9"/>
    <w:rsid w:val="6A2215AB"/>
    <w:rsid w:val="6B5B364B"/>
    <w:rsid w:val="6D3D06B3"/>
    <w:rsid w:val="6E5E705D"/>
    <w:rsid w:val="6EDD738D"/>
    <w:rsid w:val="6F900AEA"/>
    <w:rsid w:val="724700D3"/>
    <w:rsid w:val="725434C4"/>
    <w:rsid w:val="72856267"/>
    <w:rsid w:val="72984E92"/>
    <w:rsid w:val="72BA2196"/>
    <w:rsid w:val="72EA6D53"/>
    <w:rsid w:val="7393568A"/>
    <w:rsid w:val="748C0FCE"/>
    <w:rsid w:val="75220964"/>
    <w:rsid w:val="756B6402"/>
    <w:rsid w:val="75DF2C54"/>
    <w:rsid w:val="75E6265A"/>
    <w:rsid w:val="7648315D"/>
    <w:rsid w:val="765A1C8C"/>
    <w:rsid w:val="78FE4F87"/>
    <w:rsid w:val="7A6B4218"/>
    <w:rsid w:val="7AC070D1"/>
    <w:rsid w:val="7AEA15E0"/>
    <w:rsid w:val="7B701F3F"/>
    <w:rsid w:val="7C6133D3"/>
    <w:rsid w:val="7D4C72A4"/>
    <w:rsid w:val="7E8E672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toa heading"/>
    <w:basedOn w:val="1"/>
    <w:next w:val="1"/>
    <w:qFormat/>
    <w:uiPriority w:val="0"/>
    <w:pPr>
      <w:spacing w:before="120"/>
    </w:pPr>
    <w:rPr>
      <w:rFonts w:ascii="Arial" w:hAnsi="Arial"/>
      <w:sz w:val="24"/>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cc7a6404-07af-40ea-96c9-bb69674faa46</errorID>
      <errorWord>刘志军</errorWord>
      <group>L1_Sensitive</group>
      <groupName>敏感问题</groupName>
      <ability>L2_Disgraced</ability>
      <abilityName>落马官员</abilityName>
      <candidateList/>
      <explain>【落马官员】请注意，&lt;刘志军&gt;为已落马官员的姓名。</explain>
      <paraID>645BAA57</paraID>
      <start>11</start>
      <end>14</end>
      <status>unmodified</status>
      <modifiedWord/>
      <trackRevisions>false</trackRevisions>
    </reviewItem>
    <reviewItem>
      <errorID>8a86b6d6-92a0-4047-8559-77206a76babe</errorID>
      <errorWord>，</errorWord>
      <group>L1_Word</group>
      <groupName>字词问题</groupName>
      <ability>L2_Typo</ability>
      <abilityName>字词错误</abilityName>
      <candidateList>
        <item>，在</item>
      </candidateList>
      <explain/>
      <paraID>54EA1665</paraID>
      <start>198</start>
      <end>199</end>
      <status>unmodified</status>
      <modifiedWord/>
      <trackRevisions>false</trackRevisions>
    </reviewItem>
    <reviewItem>
      <errorID>da8a8a7e-58b0-47db-a6c9-f072e188c89e</errorID>
      <errorWord>。</errorWord>
      <group>L1_Punc</group>
      <groupName>标点问题</groupName>
      <ability>L2_Punc</ability>
      <abilityName>标点符号检查</abilityName>
      <candidateList>
        <item/>
      </candidateList>
      <explain>标题文本后不使用标点符号。</explain>
      <paraID>3BBF5845</paraID>
      <start>11</start>
      <end>12</end>
      <status>unmodified</status>
      <modifiedWord/>
      <trackRevisions>false</trackRevisions>
    </reviewItem>
    <reviewItem>
      <errorID>f331f579-31d8-4461-a209-6cb699eeebe2</errorID>
      <errorWord>。</errorWord>
      <group>L1_Punc</group>
      <groupName>标点问题</groupName>
      <ability>L2_Punc</ability>
      <abilityName>标点符号检查</abilityName>
      <candidateList>
        <item/>
      </candidateList>
      <explain>标题文本后不使用标点符号。</explain>
      <paraID>1A51393D</paraID>
      <start>11</start>
      <end>12</end>
      <status>unmodified</status>
      <modifiedWord/>
      <trackRevisions>false</trackRevisions>
    </reviewItem>
    <reviewItem>
      <errorID>28e0be5d-5d9d-4cdc-851b-7661de9b1606</errorID>
      <errorWord>。</errorWord>
      <group>L1_Punc</group>
      <groupName>标点问题</groupName>
      <ability>L2_Punc</ability>
      <abilityName>标点符号检查</abilityName>
      <candidateList>
        <item/>
      </candidateList>
      <explain>标题文本后不使用标点符号。</explain>
      <paraID>160E56FB</paraID>
      <start>11</start>
      <end>12</end>
      <status>unmodified</status>
      <modifiedWord/>
      <trackRevisions>false</trackRevisions>
    </reviewItem>
    <reviewItem>
      <errorID>edc581d2-3465-42c8-b012-acbbf191df99</errorID>
      <errorWord>。</errorWord>
      <group>L1_Punc</group>
      <groupName>标点问题</groupName>
      <ability>L2_Punc</ability>
      <abilityName>标点符号检查</abilityName>
      <candidateList>
        <item/>
      </candidateList>
      <explain>标题文本后不使用标点符号。</explain>
      <paraID>4D99D7A8</paraID>
      <start>11</start>
      <end>12</end>
      <status>unmodified</status>
      <modifiedWord/>
      <trackRevisions>false</trackRevisions>
    </reviewItem>
    <reviewItem>
      <errorID>9558413f-16bc-409f-a79d-e12e4ef9ded0</errorID>
      <errorWord>。</errorWord>
      <group>L1_Punc</group>
      <groupName>标点问题</groupName>
      <ability>L2_Punc</ability>
      <abilityName>标点符号检查</abilityName>
      <candidateList>
        <item/>
      </candidateList>
      <explain>标题文本后不使用标点符号。</explain>
      <paraID>305A96BA</paraID>
      <start>11</start>
      <end>12</end>
      <status>unmodified</status>
      <modifiedWord/>
      <trackRevisions>false</trackRevisions>
    </reviewItem>
    <reviewItem>
      <errorID>7b41f4eb-8ec0-4184-95e9-6dccea5265ff</errorID>
      <errorWord>。</errorWord>
      <group>L1_Punc</group>
      <groupName>标点问题</groupName>
      <ability>L2_Punc</ability>
      <abilityName>标点符号检查</abilityName>
      <candidateList>
        <item/>
      </candidateList>
      <explain>标题文本后不使用标点符号。</explain>
      <paraID>687C020D</paraID>
      <start>11</start>
      <end>12</end>
      <status>unmodified</status>
      <modifiedWord/>
      <trackRevisions>false</trackRevisions>
    </reviewItem>
    <reviewItem>
      <errorID>581513e7-776e-4ef7-b5a1-a8cc86bcab70</errorID>
      <errorWord>。</errorWord>
      <group>L1_Punc</group>
      <groupName>标点问题</groupName>
      <ability>L2_Punc</ability>
      <abilityName>标点符号检查</abilityName>
      <candidateList>
        <item/>
      </candidateList>
      <explain>标题文本后不使用标点符号。</explain>
      <paraID>70EBC7F3</paraID>
      <start>11</start>
      <end>12</end>
      <status>unmodified</status>
      <modifiedWord/>
      <trackRevisions>false</trackRevisions>
    </reviewItem>
    <reviewItem>
      <errorID>30786743-b37e-4db9-923e-d69d802a0057</errorID>
      <errorWord>有感可及</errorWord>
      <group>L1_Political</group>
      <groupName>政治性问题</groupName>
      <ability>L2_Keyword</ability>
      <abilityName>固定表述</abilityName>
      <candidateList>
        <item>可感可及</item>
      </candidateList>
      <explain>词汇“可感可及”在特定场景下为固定表述形式，请确认此处的“有感可及”是否存在不当。</explain>
      <paraID>70EBC7F3</paraID>
      <start>135</start>
      <end>139</end>
      <status>unmodified</status>
      <modifiedWord/>
      <trackRevisions>false</trackRevisions>
    </reviewItem>
    <reviewItem>
      <errorID>f4010b02-4824-427b-9801-13941181509c</errorID>
      <errorWord>。</errorWord>
      <group>L1_Punc</group>
      <groupName>标点问题</groupName>
      <ability>L2_Punc</ability>
      <abilityName>标点符号检查</abilityName>
      <candidateList>
        <item/>
      </candidateList>
      <explain>标题文本后不使用标点符号。</explain>
      <paraID> 5F4703A</paraID>
      <start>18</start>
      <end>19</end>
      <status>unmodified</status>
      <modifiedWord/>
      <trackRevisions>false</trackRevisions>
    </reviewItem>
    <reviewItem>
      <errorID>4af7d504-09b7-4a2d-b87d-928dd109fcc4</errorID>
      <errorWord>培育壮大兴区产业</errorWord>
      <group>L1_Political</group>
      <groupName>政治性问题</groupName>
      <ability>L2_Keyword</ability>
      <abilityName>固定表述</abilityName>
      <candidateList>
        <item>培育壮大新兴产业</item>
      </candidateList>
      <explain>词汇“培育壮大新兴产业”在特定场景下为固定表述形式，请确认此处的“培育壮大兴区产业”是否存在不当。</explain>
      <paraID> 5F4703A</paraID>
      <start>332</start>
      <end>340</end>
      <status>unmodified</status>
      <modifiedWord/>
      <trackRevisions>false</trackRevisions>
    </reviewItem>
    <reviewItem>
      <errorID>4bff5411-2a92-4e9f-8859-9e2245c3ec59</errorID>
      <errorWord>。</errorWord>
      <group>L1_Punc</group>
      <groupName>标点问题</groupName>
      <ability>L2_Punc</ability>
      <abilityName>标点符号检查</abilityName>
      <candidateList>
        <item/>
      </candidateList>
      <explain>标题文本后不使用标点符号。</explain>
      <paraID>45383111</paraID>
      <start>18</start>
      <end>19</end>
      <status>unmodified</status>
      <modifiedWord/>
      <trackRevisions>false</trackRevisions>
    </reviewItem>
    <reviewItem>
      <errorID>5ff77c36-611a-405c-a9e2-f1cfdd12a245</errorID>
      <errorWord>。</errorWord>
      <group>L1_Punc</group>
      <groupName>标点问题</groupName>
      <ability>L2_Punc</ability>
      <abilityName>标点符号检查</abilityName>
      <candidateList>
        <item/>
      </candidateList>
      <explain>标题文本后不使用标点符号。</explain>
      <paraID>71013ECC</paraID>
      <start>18</start>
      <end>19</end>
      <status>unmodified</status>
      <modifiedWord/>
      <trackRevisions>false</trackRevisions>
    </reviewItem>
    <reviewItem>
      <errorID>6db43fa9-5a8d-4be1-b1c3-05553ddcb7a2</errorID>
      <errorWord>四减两公开</errorWord>
      <group>L1_Political</group>
      <groupName>政治性问题</groupName>
      <ability>L2_Keyword</ability>
      <abilityName>固定表述</abilityName>
      <candidateList>
        <item>四议两公开</item>
      </candidateList>
      <explain>词汇“四议两公开”在特定场景下为固定表述形式，请确认此处的“四减两公开”是否存在不当。</explain>
      <paraID>71013ECC</paraID>
      <start>476</start>
      <end>481</end>
      <status>unmodified</status>
      <modifiedWord/>
      <trackRevisions>false</trackRevisions>
    </reviewItem>
    <reviewItem>
      <errorID>a2dd2a06-9d2d-4065-ad90-b9da3599e651</errorID>
      <errorWord>。</errorWord>
      <group>L1_Punc</group>
      <groupName>标点问题</groupName>
      <ability>L2_Punc</ability>
      <abilityName>标点符号检查</abilityName>
      <candidateList>
        <item/>
      </candidateList>
      <explain>标题文本后不使用标点符号。</explain>
      <paraID>2587ED8B</paraID>
      <start>18</start>
      <end>19</end>
      <status>unmodified</status>
      <modifiedWord/>
      <trackRevisions>false</trackRevisions>
    </reviewItem>
    <reviewItem>
      <errorID>b2f97222-6660-4aac-9570-77c0ccc0d0c9</errorID>
      <errorWord>。</errorWord>
      <group>L1_Punc</group>
      <groupName>标点问题</groupName>
      <ability>L2_Punc</ability>
      <abilityName>标点符号检查</abilityName>
      <candidateList>
        <item/>
      </candidateList>
      <explain>标题文本后不使用标点符号。</explain>
      <paraID>63D94BB3</paraID>
      <start>18</start>
      <end>19</end>
      <status>unmodified</status>
      <modifiedWord/>
      <trackRevisions>false</trackRevisions>
    </reviewItem>
    <reviewItem>
      <errorID>51eec565-1370-4818-9bc3-facb18d9c2f3</errorID>
      <errorWord>。</errorWord>
      <group>L1_Punc</group>
      <groupName>标点问题</groupName>
      <ability>L2_Punc</ability>
      <abilityName>标点符号检查</abilityName>
      <candidateList>
        <item/>
      </candidateList>
      <explain>标题文本后不使用标点符号。</explain>
      <paraID>7EF40C28</paraID>
      <start>18</start>
      <end>19</end>
      <status>unmodified</status>
      <modifiedWord/>
      <trackRevisions>false</trackRevisions>
    </reviewItem>
    <reviewItem>
      <errorID>a59f8556-6197-4a77-a2a3-2b2022d82c0a</errorID>
      <errorWord>。</errorWord>
      <group>L1_Punc</group>
      <groupName>标点问题</groupName>
      <ability>L2_Punc</ability>
      <abilityName>标点符号检查</abilityName>
      <candidateList>
        <item/>
      </candidateList>
      <explain>标题文本后不使用标点符号。</explain>
      <paraID>1B985444</paraID>
      <start>18</start>
      <end>19</end>
      <status>unmodified</status>
      <modifiedWord/>
      <trackRevisions>false</trackRevisions>
    </reviewItem>
    <reviewItem>
      <errorID>04bbf42e-9c47-41a1-8e64-1d57acf6c3aa</errorID>
      <errorWord>。</errorWord>
      <group>L1_Punc</group>
      <groupName>标点问题</groupName>
      <ability>L2_Punc</ability>
      <abilityName>标点符号检查</abilityName>
      <candidateList>
        <item/>
      </candidateList>
      <explain>标题文本后不使用标点符号。</explain>
      <paraID>34AC2A4B</paraID>
      <start>10</start>
      <end>11</end>
      <status>unmodified</status>
      <modifiedWord/>
      <trackRevisions>false</trackRevisions>
    </reviewItem>
    <reviewItem>
      <errorID>98402394-1ba5-4300-aab2-796356172910</errorID>
      <errorWord>。</errorWord>
      <group>L1_Punc</group>
      <groupName>标点问题</groupName>
      <ability>L2_Punc</ability>
      <abilityName>标点符号检查</abilityName>
      <candidateList>
        <item/>
      </candidateList>
      <explain>标题文本后不使用标点符号。</explain>
      <paraID>6BF4B92F</paraID>
      <start>10</start>
      <end>11</end>
      <status>unmodified</status>
      <modifiedWord/>
      <trackRevisions>false</trackRevisions>
    </reviewItem>
    <reviewItem>
      <errorID>a65b45a6-0775-466b-b87a-15361ec62706</errorID>
      <errorWord>。</errorWord>
      <group>L1_Punc</group>
      <groupName>标点问题</groupName>
      <ability>L2_Punc</ability>
      <abilityName>标点符号检查</abilityName>
      <candidateList>
        <item/>
      </candidateList>
      <explain>标题文本后不使用标点符号。</explain>
      <paraID>1E55AB3F</paraID>
      <start>10</start>
      <end>11</end>
      <status>unmodified</status>
      <modifiedWord/>
      <trackRevisions>false</trackRevisions>
    </reviewItem>
    <reviewItem>
      <errorID>d145cbf1-d625-4eee-a7c1-703935901796</errorID>
      <errorWord>、</errorWord>
      <group>L1_Word</group>
      <groupName>字词问题</groupName>
      <ability>L2_Typo</ability>
      <abilityName>字词错误</abilityName>
      <candidateList>
        <item>、以</item>
      </candidateList>
      <explain/>
      <paraID>1E55AB3F</paraID>
      <start>34</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30711-b54a-4ae6-9a7b-3e760441fe01}">
  <ds:schemaRefs/>
</ds:datastoreItem>
</file>

<file path=docProps/app.xml><?xml version="1.0" encoding="utf-8"?>
<Properties xmlns="http://schemas.openxmlformats.org/officeDocument/2006/extended-properties" xmlns:vt="http://schemas.openxmlformats.org/officeDocument/2006/docPropsVTypes">
  <Pages>20</Pages>
  <Words>10273</Words>
  <Characters>10584</Characters>
  <Paragraphs>122</Paragraphs>
  <TotalTime>4</TotalTime>
  <ScaleCrop>false</ScaleCrop>
  <LinksUpToDate>false</LinksUpToDate>
  <CharactersWithSpaces>10586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2025-11-24T14:55:00Z</dcterms:created>
  <dc:creator>23127PN0CC</dc:creator>
  <cp:lastModifiedBy>刘大业</cp:lastModifiedBy>
  <cp:lastPrinted>2026-01-10T02:18:00Z</cp:lastPrinted>
  <dcterms:modified xsi:type="dcterms:W3CDTF">2026-01-10T03:27:24Z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4AF3E815D45C45E0BA9D27785BF981CE_13</vt:lpwstr>
  </property>
  <property fmtid="{D5CDD505-2E9C-101B-9397-08002B2CF9AE}" pid="3" name="KSOTemplateDocerSaveRecord">
    <vt:lpwstr>eyJoZGlkIjoiMDk3YWNjZTg0N2QzNGNhZWZjZThiOGE1ZWJlYzAwNTQiLCJ1c2VySWQiOiIyNTgyMzY5NDYifQ==</vt:lpwstr>
  </property>
  <property fmtid="{D5CDD505-2E9C-101B-9397-08002B2CF9AE}" pid="4" name="KSOProductBuildVer">
    <vt:lpwstr>2052-12.1.0.24034</vt:lpwstr>
  </property>
</Properties>
</file>