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166370</wp:posOffset>
                </wp:positionV>
                <wp:extent cx="4841875" cy="1332230"/>
                <wp:effectExtent l="0" t="0" r="15875" b="1270"/>
                <wp:wrapNone/>
                <wp:docPr id="1" name="文本框 1"/>
                <wp:cNvGraphicFramePr/>
                <a:graphic xmlns:a="http://schemas.openxmlformats.org/drawingml/2006/main">
                  <a:graphicData uri="http://schemas.microsoft.com/office/word/2010/wordprocessingShape">
                    <wps:wsp>
                      <wps:cNvSpPr txBox="1"/>
                      <wps:spPr>
                        <a:xfrm>
                          <a:off x="1184910" y="887095"/>
                          <a:ext cx="4841875" cy="133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 xml:space="preserve"> 宝山区乡村振兴局</w:t>
                            </w:r>
                          </w:p>
                          <w:p>
                            <w:pPr>
                              <w:spacing w:line="240" w:lineRule="auto"/>
                              <w:jc w:val="distribute"/>
                              <w:rPr>
                                <w:rFonts w:hint="default" w:eastAsiaTheme="minorEastAsia"/>
                                <w:sz w:val="72"/>
                                <w:szCs w:val="7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13.1pt;height:104.9pt;width:381.25pt;z-index:251659264;mso-width-relative:page;mso-height-relative:page;" fillcolor="#FFFFFF [3201]" filled="t" stroked="f" coordsize="21600,21600" o:gfxdata="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kCM&#10;+tYAAAAKAQAADwAAAAAAAAABACAAAAAiAAAAZHJzL2Rvd25yZXYueG1sUEsBAhQAFAAAAAgAh07i&#10;QPi8jVtdAgAAmwQAAA4AAAAAAAAAAQAgAAAAJQEAAGRycy9lMm9Eb2MueG1sUEsFBgAAAAAGAAYA&#10;WQEAAPQFAAAAAA==&#10;">
                <v:fill on="t" focussize="0,0"/>
                <v:stroke on="f" weight="0.5pt"/>
                <v:imagedata o:title=""/>
                <o:lock v:ext="edit" aspectratio="f"/>
                <v:textbo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 xml:space="preserve"> 宝山区乡村振兴局</w:t>
                      </w:r>
                    </w:p>
                    <w:p>
                      <w:pPr>
                        <w:spacing w:line="240" w:lineRule="auto"/>
                        <w:jc w:val="distribute"/>
                        <w:rPr>
                          <w:rFonts w:hint="default" w:eastAsiaTheme="minorEastAsia"/>
                          <w:sz w:val="72"/>
                          <w:szCs w:val="72"/>
                          <w:lang w:val="en-US" w:eastAsia="zh-CN"/>
                        </w:rPr>
                      </w:pPr>
                    </w:p>
                  </w:txbxContent>
                </v:textbox>
              </v:shape>
            </w:pict>
          </mc:Fallback>
        </mc:AlternateContent>
      </w:r>
    </w:p>
    <w:p>
      <w:pPr>
        <w:pStyle w:val="3"/>
        <w:rPr>
          <w:rFonts w:hint="eastAsia" w:ascii="黑体" w:hAnsi="黑体" w:eastAsia="黑体" w:cs="黑体"/>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4507865</wp:posOffset>
                </wp:positionH>
                <wp:positionV relativeFrom="paragraph">
                  <wp:posOffset>370205</wp:posOffset>
                </wp:positionV>
                <wp:extent cx="1133475" cy="1332230"/>
                <wp:effectExtent l="0" t="0" r="9525" b="1270"/>
                <wp:wrapNone/>
                <wp:docPr id="3" name="文本框 3"/>
                <wp:cNvGraphicFramePr/>
                <a:graphic xmlns:a="http://schemas.openxmlformats.org/drawingml/2006/main">
                  <a:graphicData uri="http://schemas.microsoft.com/office/word/2010/wordprocessingShape">
                    <wps:wsp>
                      <wps:cNvSpPr txBox="1"/>
                      <wps:spPr>
                        <a:xfrm>
                          <a:off x="0" y="0"/>
                          <a:ext cx="1133475" cy="133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文件</w:t>
                            </w:r>
                          </w:p>
                          <w:p>
                            <w:pPr>
                              <w:spacing w:line="240" w:lineRule="auto"/>
                              <w:jc w:val="distribute"/>
                              <w:rPr>
                                <w:rFonts w:hint="default" w:eastAsiaTheme="minorEastAsia"/>
                                <w:sz w:val="72"/>
                                <w:szCs w:val="7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5pt;margin-top:29.15pt;height:104.9pt;width:89.25pt;z-index:251661312;mso-width-relative:page;mso-height-relative:page;" fillcolor="#FFFFFF [3201]" filled="t" stroked="f" coordsize="21600,21600" o:gfxdata="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INuNR1gAAAAoBAAAPAAAA&#10;AAAAAAEAIAAAACIAAABkcnMvZG93bnJldi54bWxQSwECFAAUAAAACACHTuJAnz5r61ACAACQBAAA&#10;DgAAAAAAAAABACAAAAAlAQAAZHJzL2Uyb0RvYy54bWxQSwUGAAAAAAYABgBZAQAA5wUAAAAA&#10;">
                <v:fill on="t" focussize="0,0"/>
                <v:stroke on="f" weight="0.5pt"/>
                <v:imagedata o:title=""/>
                <o:lock v:ext="edit" aspectratio="f"/>
                <v:textbo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文件</w:t>
                      </w:r>
                    </w:p>
                    <w:p>
                      <w:pPr>
                        <w:spacing w:line="240" w:lineRule="auto"/>
                        <w:jc w:val="distribute"/>
                        <w:rPr>
                          <w:rFonts w:hint="default" w:eastAsiaTheme="minorEastAsia"/>
                          <w:sz w:val="72"/>
                          <w:szCs w:val="72"/>
                          <w:lang w:val="en-US" w:eastAsia="zh-CN"/>
                        </w:rPr>
                      </w:pPr>
                    </w:p>
                  </w:txbxContent>
                </v:textbox>
              </v:shape>
            </w:pict>
          </mc:Fallback>
        </mc:AlternateContent>
      </w:r>
    </w:p>
    <w:p>
      <w:pPr>
        <w:pStyle w:val="3"/>
        <w:rPr>
          <w:rFonts w:hint="eastAsia" w:ascii="黑体" w:hAnsi="黑体" w:eastAsia="黑体" w:cs="黑体"/>
          <w:sz w:val="44"/>
          <w:szCs w:val="44"/>
          <w:lang w:eastAsia="zh-CN"/>
        </w:rPr>
      </w:pPr>
    </w:p>
    <w:p>
      <w:pPr>
        <w:pStyle w:val="3"/>
        <w:tabs>
          <w:tab w:val="left" w:pos="7952"/>
        </w:tabs>
        <w:rPr>
          <w:rFonts w:hint="eastAsia" w:ascii="黑体" w:hAnsi="黑体" w:eastAsia="黑体" w:cs="黑体"/>
          <w:sz w:val="44"/>
          <w:szCs w:val="44"/>
          <w:lang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101600</wp:posOffset>
                </wp:positionV>
                <wp:extent cx="4848860" cy="1332230"/>
                <wp:effectExtent l="0" t="0" r="8890" b="1270"/>
                <wp:wrapNone/>
                <wp:docPr id="2" name="文本框 2"/>
                <wp:cNvGraphicFramePr/>
                <a:graphic xmlns:a="http://schemas.openxmlformats.org/drawingml/2006/main">
                  <a:graphicData uri="http://schemas.microsoft.com/office/word/2010/wordprocessingShape">
                    <wps:wsp>
                      <wps:cNvSpPr txBox="1"/>
                      <wps:spPr>
                        <a:xfrm>
                          <a:off x="0" y="0"/>
                          <a:ext cx="4848860" cy="133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 xml:space="preserve"> 宝山区财政局</w:t>
                            </w:r>
                          </w:p>
                          <w:p>
                            <w:pPr>
                              <w:spacing w:line="240" w:lineRule="auto"/>
                              <w:jc w:val="distribute"/>
                              <w:rPr>
                                <w:rFonts w:hint="default" w:eastAsiaTheme="minorEastAsia"/>
                                <w:sz w:val="72"/>
                                <w:szCs w:val="7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8pt;height:104.9pt;width:381.8pt;z-index:251660288;mso-width-relative:page;mso-height-relative:page;" fillcolor="#FFFFFF [3201]" filled="t" stroked="f" coordsize="21600,21600" o:gfxdata="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AcpmHWAAAACgEAAA8A&#10;AAAAAAAAAQAgAAAAIgAAAGRycy9kb3ducmV2LnhtbFBLAQIUABQAAAAIAIdO4kAiXsrJUgIAAJAE&#10;AAAOAAAAAAAAAAEAIAAAACUBAABkcnMvZTJvRG9jLnhtbFBLBQYAAAAABgAGAFkBAADpBQAAAAA=&#10;">
                <v:fill on="t" focussize="0,0"/>
                <v:stroke on="f" weight="0.5pt"/>
                <v:imagedata o:title=""/>
                <o:lock v:ext="edit" aspectratio="f"/>
                <v:textbox>
                  <w:txbxContent>
                    <w:p>
                      <w:pPr>
                        <w:spacing w:line="240" w:lineRule="atLeast"/>
                        <w:ind w:left="0" w:leftChars="0"/>
                        <w:jc w:val="distribute"/>
                        <w:rPr>
                          <w:rFonts w:hint="default" w:ascii="Times New Roman" w:hAnsi="Times New Roman" w:eastAsia="方正小标宋简体"/>
                          <w:bCs/>
                          <w:color w:val="FF0000"/>
                          <w:spacing w:val="-14"/>
                          <w:w w:val="66"/>
                          <w:sz w:val="110"/>
                          <w:szCs w:val="110"/>
                          <w:lang w:val="en-US" w:eastAsia="zh-CN"/>
                        </w:rPr>
                      </w:pPr>
                      <w:r>
                        <w:rPr>
                          <w:rFonts w:hint="eastAsia" w:ascii="Times New Roman" w:hAnsi="Times New Roman" w:eastAsia="方正小标宋简体"/>
                          <w:bCs/>
                          <w:color w:val="FF0000"/>
                          <w:spacing w:val="-14"/>
                          <w:w w:val="66"/>
                          <w:sz w:val="110"/>
                          <w:szCs w:val="110"/>
                          <w:lang w:val="en-US" w:eastAsia="zh-CN"/>
                        </w:rPr>
                        <w:t xml:space="preserve"> 宝山区财政局</w:t>
                      </w:r>
                    </w:p>
                    <w:p>
                      <w:pPr>
                        <w:spacing w:line="240" w:lineRule="auto"/>
                        <w:jc w:val="distribute"/>
                        <w:rPr>
                          <w:rFonts w:hint="default" w:eastAsiaTheme="minorEastAsia"/>
                          <w:sz w:val="72"/>
                          <w:szCs w:val="72"/>
                          <w:lang w:val="en-US" w:eastAsia="zh-CN"/>
                        </w:rPr>
                      </w:pPr>
                    </w:p>
                  </w:txbxContent>
                </v:textbox>
              </v:shape>
            </w:pict>
          </mc:Fallback>
        </mc:AlternateContent>
      </w:r>
      <w:r>
        <w:rPr>
          <w:rFonts w:hint="eastAsia" w:ascii="黑体" w:hAnsi="黑体" w:eastAsia="黑体" w:cs="黑体"/>
          <w:sz w:val="44"/>
          <w:szCs w:val="44"/>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lang w:val="en-US" w:eastAsia="zh-CN"/>
        </w:rPr>
        <w:t>双宝乡联发</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r>
        <w:rPr>
          <w:rFonts w:ascii="Times New Roman" w:hAnsi="Times New Roman" w:eastAsia="仿宋_GB2312"/>
          <w:color w:val="000000"/>
          <w:sz w:val="44"/>
          <w:szCs w:val="44"/>
          <w:lang w:val="en-US" w:eastAsia="zh-CN"/>
        </w:rPr>
        <mc:AlternateContent>
          <mc:Choice Requires="wps">
            <w:drawing>
              <wp:anchor distT="0" distB="0" distL="114300" distR="114300" simplePos="0" relativeHeight="251662336" behindDoc="0" locked="0" layoutInCell="1" allowOverlap="1">
                <wp:simplePos x="0" y="0"/>
                <wp:positionH relativeFrom="column">
                  <wp:posOffset>-130175</wp:posOffset>
                </wp:positionH>
                <wp:positionV relativeFrom="paragraph">
                  <wp:posOffset>231140</wp:posOffset>
                </wp:positionV>
                <wp:extent cx="5760085" cy="0"/>
                <wp:effectExtent l="0" t="9525" r="12065" b="9525"/>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5pt;margin-top:18.2pt;height:0pt;width:453.55pt;z-index:251662336;mso-width-relative:page;mso-height-relative:page;" filled="f" stroked="t" coordsize="21600,21600" o:gfxdata="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GcShfYAAAACQEAAA8AAAAAAAAAAQAgAAAAIgAAAGRycy9kb3ducmV2Lnht&#10;bFBLAQIUABQAAAAIAIdO4kAcC4e4+QEAAOUDAAAOAAAAAAAAAAEAIAAAACcBAABkcnMvZTJvRG9j&#10;LnhtbFBLBQYAAAAABgAGAFkBAACSBQAAAAA=&#10;">
                <v:fill on="f" focussize="0,0"/>
                <v:stroke weight="1.5pt" color="#FF0000" joinstyle="round"/>
                <v:imagedata o:title=""/>
                <o:lock v:ext="edit" aspectratio="f"/>
              </v:line>
            </w:pict>
          </mc:Fallback>
        </mc:AlternateContent>
      </w:r>
    </w:p>
    <w:p>
      <w:pPr>
        <w:spacing w:line="600" w:lineRule="exact"/>
        <w:jc w:val="center"/>
        <w:rPr>
          <w:rFonts w:hint="eastAsia" w:ascii="方正小标宋简体" w:hAnsi="仿宋" w:eastAsia="方正小标宋简体"/>
          <w:sz w:val="44"/>
          <w:szCs w:val="44"/>
          <w:lang w:val="en-US" w:eastAsia="zh-CN"/>
        </w:rPr>
      </w:pPr>
    </w:p>
    <w:p>
      <w:pPr>
        <w:spacing w:before="162" w:line="219" w:lineRule="auto"/>
        <w:jc w:val="center"/>
        <w:rPr>
          <w:rFonts w:ascii="宋体" w:hAnsi="宋体" w:eastAsia="宋体" w:cs="宋体"/>
          <w:b/>
          <w:bCs/>
          <w:spacing w:val="-23"/>
          <w:sz w:val="50"/>
          <w:szCs w:val="50"/>
        </w:rPr>
      </w:pPr>
      <w:r>
        <w:rPr>
          <w:rFonts w:hint="eastAsia" w:ascii="宋体" w:hAnsi="宋体" w:eastAsia="宋体" w:cs="宋体"/>
          <w:b/>
          <w:bCs/>
          <w:spacing w:val="-23"/>
          <w:sz w:val="50"/>
          <w:szCs w:val="50"/>
          <w:lang w:val="en-US" w:eastAsia="zh-CN"/>
        </w:rPr>
        <w:t>宝山</w:t>
      </w:r>
      <w:r>
        <w:rPr>
          <w:rFonts w:ascii="宋体" w:hAnsi="宋体" w:eastAsia="宋体" w:cs="宋体"/>
          <w:b/>
          <w:bCs/>
          <w:spacing w:val="-23"/>
          <w:sz w:val="50"/>
          <w:szCs w:val="50"/>
        </w:rPr>
        <w:t>区财政局等部门关于印发</w:t>
      </w:r>
    </w:p>
    <w:p>
      <w:pPr>
        <w:spacing w:before="162" w:line="219" w:lineRule="auto"/>
        <w:jc w:val="center"/>
        <w:rPr>
          <w:rFonts w:ascii="宋体" w:hAnsi="宋体" w:eastAsia="宋体" w:cs="宋体"/>
          <w:b/>
          <w:bCs/>
          <w:spacing w:val="-20"/>
          <w:sz w:val="50"/>
          <w:szCs w:val="50"/>
        </w:rPr>
      </w:pPr>
      <w:r>
        <w:rPr>
          <w:rFonts w:ascii="宋体" w:hAnsi="宋体" w:eastAsia="宋体" w:cs="宋体"/>
          <w:b/>
          <w:bCs/>
          <w:spacing w:val="-20"/>
          <w:sz w:val="50"/>
          <w:szCs w:val="50"/>
        </w:rPr>
        <w:t>《</w:t>
      </w:r>
      <w:r>
        <w:rPr>
          <w:rFonts w:hint="eastAsia" w:ascii="宋体" w:hAnsi="宋体" w:eastAsia="宋体" w:cs="宋体"/>
          <w:b/>
          <w:bCs/>
          <w:spacing w:val="-20"/>
          <w:sz w:val="50"/>
          <w:szCs w:val="50"/>
          <w:lang w:val="en-US" w:eastAsia="zh-CN"/>
        </w:rPr>
        <w:t>宝山</w:t>
      </w:r>
      <w:r>
        <w:rPr>
          <w:rFonts w:ascii="宋体" w:hAnsi="宋体" w:eastAsia="宋体" w:cs="宋体"/>
          <w:b/>
          <w:bCs/>
          <w:spacing w:val="-20"/>
          <w:sz w:val="50"/>
          <w:szCs w:val="50"/>
        </w:rPr>
        <w:t>区财政衔接推进乡村振兴</w:t>
      </w:r>
    </w:p>
    <w:p>
      <w:pPr>
        <w:spacing w:before="162" w:line="219" w:lineRule="auto"/>
        <w:jc w:val="center"/>
        <w:rPr>
          <w:rFonts w:ascii="宋体" w:hAnsi="宋体" w:eastAsia="宋体" w:cs="宋体"/>
          <w:sz w:val="50"/>
          <w:szCs w:val="50"/>
        </w:rPr>
      </w:pPr>
      <w:r>
        <w:rPr>
          <w:rFonts w:ascii="宋体" w:hAnsi="宋体" w:eastAsia="宋体" w:cs="宋体"/>
          <w:b/>
          <w:bCs/>
          <w:spacing w:val="-17"/>
          <w:sz w:val="50"/>
          <w:szCs w:val="50"/>
        </w:rPr>
        <w:t>补助资金管理办法》的通知</w:t>
      </w:r>
    </w:p>
    <w:p>
      <w:pPr>
        <w:spacing w:line="258" w:lineRule="auto"/>
        <w:rPr>
          <w:rFonts w:ascii="Arial"/>
          <w:sz w:val="21"/>
        </w:rPr>
      </w:pPr>
    </w:p>
    <w:p>
      <w:pPr>
        <w:spacing w:line="259" w:lineRule="auto"/>
        <w:rPr>
          <w:rFonts w:hint="eastAsia" w:ascii="Arial" w:eastAsia="宋体"/>
          <w:sz w:val="21"/>
          <w:lang w:eastAsia="zh-CN"/>
        </w:rPr>
      </w:pPr>
    </w:p>
    <w:p>
      <w:pPr>
        <w:spacing w:line="259" w:lineRule="auto"/>
        <w:rPr>
          <w:rFonts w:ascii="Arial"/>
          <w:sz w:val="21"/>
        </w:rPr>
      </w:pPr>
    </w:p>
    <w:p>
      <w:pPr>
        <w:spacing w:before="115" w:line="219" w:lineRule="auto"/>
        <w:rPr>
          <w:rFonts w:hint="eastAsia" w:ascii="仿宋" w:hAnsi="仿宋" w:eastAsia="仿宋" w:cs="仿宋"/>
          <w:sz w:val="32"/>
          <w:szCs w:val="32"/>
        </w:rPr>
      </w:pPr>
      <w:r>
        <w:rPr>
          <w:rFonts w:hint="eastAsia" w:ascii="仿宋" w:hAnsi="仿宋" w:eastAsia="仿宋" w:cs="仿宋"/>
          <w:spacing w:val="-4"/>
          <w:sz w:val="32"/>
          <w:szCs w:val="32"/>
          <w:lang w:val="en-US" w:eastAsia="zh-CN"/>
        </w:rPr>
        <w:t>七星镇</w:t>
      </w:r>
      <w:r>
        <w:rPr>
          <w:rFonts w:hint="eastAsia" w:ascii="仿宋" w:hAnsi="仿宋" w:eastAsia="仿宋" w:cs="仿宋"/>
          <w:spacing w:val="-4"/>
          <w:sz w:val="32"/>
          <w:szCs w:val="32"/>
        </w:rPr>
        <w:t>、区政府各有关单位：</w:t>
      </w:r>
    </w:p>
    <w:p>
      <w:pPr>
        <w:spacing w:line="243" w:lineRule="auto"/>
        <w:rPr>
          <w:rFonts w:hint="eastAsia" w:ascii="宋体" w:hAnsi="宋体" w:eastAsia="宋体" w:cs="宋体"/>
          <w:b/>
          <w:bCs/>
          <w:sz w:val="46"/>
          <w:szCs w:val="46"/>
          <w:lang w:val="en-US" w:eastAsia="zh-CN"/>
        </w:rPr>
      </w:pPr>
      <w:r>
        <w:rPr>
          <w:rFonts w:hint="eastAsia" w:ascii="仿宋" w:hAnsi="仿宋" w:eastAsia="仿宋" w:cs="仿宋"/>
          <w:spacing w:val="17"/>
          <w:position w:val="22"/>
          <w:sz w:val="32"/>
          <w:szCs w:val="32"/>
        </w:rPr>
        <w:t>根据中央和省巩固拓展脱贫攻坚成果同乡村振兴有效衔接决策部署，按照《财政部、国家乡村振兴局、国家发展改革委、国家民委、农业农村部、国家林业和草原局</w:t>
      </w: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hint="eastAsia" w:ascii="宋体" w:hAnsi="宋体" w:eastAsia="宋体" w:cs="宋体"/>
          <w:b/>
          <w:bCs/>
          <w:sz w:val="46"/>
          <w:szCs w:val="46"/>
          <w:lang w:val="en-US" w:eastAsia="zh-CN"/>
        </w:rPr>
      </w:pP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hint="eastAsia" w:ascii="宋体" w:hAnsi="宋体" w:eastAsia="宋体" w:cs="宋体"/>
          <w:b/>
          <w:bCs/>
          <w:sz w:val="46"/>
          <w:szCs w:val="46"/>
          <w:lang w:val="en-US" w:eastAsia="zh-CN"/>
        </w:rPr>
      </w:pPr>
      <w:r>
        <w:rPr>
          <w:rFonts w:hint="eastAsia" w:ascii="宋体" w:hAnsi="宋体" w:eastAsia="宋体" w:cs="宋体"/>
          <w:b/>
          <w:bCs/>
          <w:sz w:val="46"/>
          <w:szCs w:val="46"/>
          <w:lang w:val="en-US" w:eastAsia="zh-CN"/>
        </w:rPr>
        <w:drawing>
          <wp:inline distT="0" distB="0" distL="114300" distR="114300">
            <wp:extent cx="5979795" cy="7578725"/>
            <wp:effectExtent l="0" t="0" r="1905" b="3175"/>
            <wp:docPr id="5" name="图片 5" descr="8f94d1c061225d608a0bfe13582c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f94d1c061225d608a0bfe13582ce43"/>
                    <pic:cNvPicPr>
                      <a:picLocks noChangeAspect="1"/>
                    </pic:cNvPicPr>
                  </pic:nvPicPr>
                  <pic:blipFill>
                    <a:blip r:embed="rId5"/>
                    <a:stretch>
                      <a:fillRect/>
                    </a:stretch>
                  </pic:blipFill>
                  <pic:spPr>
                    <a:xfrm>
                      <a:off x="0" y="0"/>
                      <a:ext cx="5979795" cy="7578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hint="eastAsia" w:ascii="宋体" w:hAnsi="宋体" w:eastAsia="宋体" w:cs="宋体"/>
          <w:b/>
          <w:bCs/>
          <w:sz w:val="46"/>
          <w:szCs w:val="46"/>
          <w:lang w:val="en-US" w:eastAsia="zh-CN"/>
        </w:rPr>
      </w:pP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hint="eastAsia" w:ascii="宋体" w:hAnsi="宋体" w:eastAsia="宋体" w:cs="宋体"/>
          <w:b/>
          <w:bCs/>
          <w:sz w:val="46"/>
          <w:szCs w:val="46"/>
          <w:lang w:val="en-US" w:eastAsia="zh-CN"/>
        </w:rPr>
      </w:pP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ascii="宋体" w:hAnsi="宋体" w:eastAsia="宋体" w:cs="宋体"/>
          <w:b/>
          <w:bCs/>
          <w:sz w:val="46"/>
          <w:szCs w:val="46"/>
        </w:rPr>
      </w:pPr>
      <w:r>
        <w:rPr>
          <w:rFonts w:hint="eastAsia" w:ascii="宋体" w:hAnsi="宋体" w:eastAsia="宋体" w:cs="宋体"/>
          <w:b/>
          <w:bCs/>
          <w:sz w:val="46"/>
          <w:szCs w:val="46"/>
          <w:lang w:val="en-US" w:eastAsia="zh-CN"/>
        </w:rPr>
        <w:t>宝山</w:t>
      </w:r>
      <w:r>
        <w:rPr>
          <w:rFonts w:ascii="宋体" w:hAnsi="宋体" w:eastAsia="宋体" w:cs="宋体"/>
          <w:b/>
          <w:bCs/>
          <w:sz w:val="46"/>
          <w:szCs w:val="46"/>
        </w:rPr>
        <w:t>区财政衔接推进乡村</w:t>
      </w:r>
      <w:r>
        <w:rPr>
          <w:rFonts w:hint="eastAsia" w:ascii="宋体" w:hAnsi="宋体" w:eastAsia="宋体" w:cs="宋体"/>
          <w:b/>
          <w:bCs/>
          <w:sz w:val="46"/>
          <w:szCs w:val="46"/>
          <w:lang w:val="en-US" w:eastAsia="zh-CN"/>
        </w:rPr>
        <w:t>振</w:t>
      </w:r>
      <w:r>
        <w:rPr>
          <w:rFonts w:ascii="宋体" w:hAnsi="宋体" w:eastAsia="宋体" w:cs="宋体"/>
          <w:b/>
          <w:bCs/>
          <w:sz w:val="46"/>
          <w:szCs w:val="46"/>
        </w:rPr>
        <w:t>兴</w:t>
      </w:r>
    </w:p>
    <w:p>
      <w:pPr>
        <w:keepNext w:val="0"/>
        <w:keepLines w:val="0"/>
        <w:pageBreakBefore w:val="0"/>
        <w:widowControl w:val="0"/>
        <w:kinsoku/>
        <w:wordWrap/>
        <w:overflowPunct/>
        <w:topLinePunct w:val="0"/>
        <w:autoSpaceDE/>
        <w:autoSpaceDN/>
        <w:bidi w:val="0"/>
        <w:adjustRightInd/>
        <w:snapToGrid/>
        <w:spacing w:before="93" w:line="228" w:lineRule="auto"/>
        <w:ind w:right="822"/>
        <w:jc w:val="center"/>
        <w:textAlignment w:val="auto"/>
        <w:rPr>
          <w:rFonts w:ascii="宋体" w:hAnsi="宋体" w:eastAsia="宋体" w:cs="宋体"/>
          <w:sz w:val="46"/>
          <w:szCs w:val="46"/>
        </w:rPr>
      </w:pPr>
      <w:r>
        <w:rPr>
          <w:rFonts w:ascii="宋体" w:hAnsi="宋体" w:eastAsia="宋体" w:cs="宋体"/>
          <w:b/>
          <w:bCs/>
          <w:spacing w:val="1"/>
          <w:sz w:val="46"/>
          <w:szCs w:val="46"/>
        </w:rPr>
        <w:t>补助资金管理办法</w:t>
      </w:r>
    </w:p>
    <w:p>
      <w:pPr>
        <w:spacing w:line="336" w:lineRule="auto"/>
        <w:rPr>
          <w:rFonts w:ascii="Arial"/>
          <w:sz w:val="21"/>
        </w:rPr>
      </w:pPr>
    </w:p>
    <w:p>
      <w:pPr>
        <w:spacing w:line="337" w:lineRule="auto"/>
        <w:rPr>
          <w:rFonts w:ascii="Arial"/>
          <w:sz w:val="21"/>
        </w:rPr>
      </w:pPr>
    </w:p>
    <w:p>
      <w:pPr>
        <w:spacing w:before="111" w:line="222" w:lineRule="auto"/>
        <w:ind w:firstLine="3215" w:firstLineChars="700"/>
        <w:jc w:val="both"/>
        <w:rPr>
          <w:rFonts w:ascii="黑体" w:hAnsi="黑体" w:eastAsia="黑体" w:cs="黑体"/>
          <w:sz w:val="32"/>
          <w:szCs w:val="32"/>
        </w:rPr>
      </w:pPr>
      <w:r>
        <w:rPr>
          <w:rFonts w:ascii="黑体" w:hAnsi="黑体" w:eastAsia="黑体" w:cs="黑体"/>
          <w:b/>
          <w:bCs/>
          <w:spacing w:val="69"/>
          <w:sz w:val="32"/>
          <w:szCs w:val="32"/>
        </w:rPr>
        <w:t>第一章</w:t>
      </w:r>
      <w:r>
        <w:rPr>
          <w:rFonts w:hint="eastAsia" w:ascii="黑体" w:hAnsi="黑体" w:eastAsia="黑体" w:cs="黑体"/>
          <w:b/>
          <w:bCs/>
          <w:spacing w:val="69"/>
          <w:sz w:val="32"/>
          <w:szCs w:val="32"/>
          <w:lang w:val="en-US" w:eastAsia="zh-CN"/>
        </w:rPr>
        <w:t xml:space="preserve"> </w:t>
      </w:r>
      <w:r>
        <w:rPr>
          <w:rFonts w:ascii="黑体" w:hAnsi="黑体" w:eastAsia="黑体" w:cs="黑体"/>
          <w:b/>
          <w:bCs/>
          <w:spacing w:val="69"/>
          <w:sz w:val="32"/>
          <w:szCs w:val="32"/>
        </w:rPr>
        <w:t>总则</w:t>
      </w:r>
      <w:bookmarkStart w:id="0" w:name="_GoBack"/>
      <w:bookmarkEnd w:id="0"/>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11" w:line="342" w:lineRule="auto"/>
        <w:ind w:right="567" w:firstLine="729"/>
        <w:rPr>
          <w:rFonts w:hint="eastAsia" w:ascii="仿宋" w:hAnsi="仿宋" w:eastAsia="仿宋" w:cs="仿宋"/>
          <w:sz w:val="32"/>
          <w:szCs w:val="32"/>
        </w:rPr>
      </w:pPr>
      <w:r>
        <w:rPr>
          <w:rFonts w:hint="eastAsia" w:ascii="仿宋" w:hAnsi="仿宋" w:eastAsia="仿宋" w:cs="仿宋"/>
          <w:spacing w:val="15"/>
          <w:sz w:val="32"/>
          <w:szCs w:val="32"/>
        </w:rPr>
        <w:t>第一条为贯彻落实《中共中央、国务院关于实现巩固拓展</w:t>
      </w:r>
      <w:r>
        <w:rPr>
          <w:rFonts w:hint="eastAsia" w:ascii="仿宋" w:hAnsi="仿宋" w:eastAsia="仿宋" w:cs="仿宋"/>
          <w:sz w:val="32"/>
          <w:szCs w:val="32"/>
        </w:rPr>
        <w:t xml:space="preserve">   </w:t>
      </w:r>
      <w:r>
        <w:rPr>
          <w:rFonts w:hint="eastAsia" w:ascii="仿宋" w:hAnsi="仿宋" w:eastAsia="仿宋" w:cs="仿宋"/>
          <w:spacing w:val="-4"/>
          <w:sz w:val="32"/>
          <w:szCs w:val="32"/>
        </w:rPr>
        <w:t>脱贫攻坚成果同乡村振兴有效衔接的意见》和《中共黑</w:t>
      </w:r>
      <w:r>
        <w:rPr>
          <w:rFonts w:hint="eastAsia" w:ascii="仿宋" w:hAnsi="仿宋" w:eastAsia="仿宋" w:cs="仿宋"/>
          <w:spacing w:val="-5"/>
          <w:sz w:val="32"/>
          <w:szCs w:val="32"/>
        </w:rPr>
        <w:t>龙江省委、</w:t>
      </w:r>
      <w:r>
        <w:rPr>
          <w:rFonts w:hint="eastAsia" w:ascii="仿宋" w:hAnsi="仿宋" w:eastAsia="仿宋" w:cs="仿宋"/>
          <w:sz w:val="32"/>
          <w:szCs w:val="32"/>
        </w:rPr>
        <w:t xml:space="preserve">  </w:t>
      </w:r>
      <w:r>
        <w:rPr>
          <w:rFonts w:hint="eastAsia" w:ascii="仿宋" w:hAnsi="仿宋" w:eastAsia="仿宋" w:cs="仿宋"/>
          <w:spacing w:val="17"/>
          <w:sz w:val="32"/>
          <w:szCs w:val="32"/>
        </w:rPr>
        <w:t>黑龙江省人民政府关于实现巩固拓展脱贫攻坚成果同乡村</w:t>
      </w:r>
      <w:r>
        <w:rPr>
          <w:rFonts w:hint="eastAsia" w:ascii="仿宋" w:hAnsi="仿宋" w:eastAsia="仿宋" w:cs="仿宋"/>
          <w:spacing w:val="16"/>
          <w:sz w:val="32"/>
          <w:szCs w:val="32"/>
        </w:rPr>
        <w:t>振兴</w:t>
      </w:r>
      <w:r>
        <w:rPr>
          <w:rFonts w:hint="eastAsia" w:ascii="仿宋" w:hAnsi="仿宋" w:eastAsia="仿宋" w:cs="仿宋"/>
          <w:spacing w:val="4"/>
          <w:sz w:val="32"/>
          <w:szCs w:val="32"/>
        </w:rPr>
        <w:t>有效衔接的实施意见》要求，加强过渡期财政衔接推进乡村振兴</w:t>
      </w:r>
      <w:r>
        <w:rPr>
          <w:rFonts w:hint="eastAsia" w:ascii="仿宋" w:hAnsi="仿宋" w:eastAsia="仿宋" w:cs="仿宋"/>
          <w:spacing w:val="16"/>
          <w:sz w:val="32"/>
          <w:szCs w:val="32"/>
        </w:rPr>
        <w:t>补助资金(以下简称衔接资金)管理，根据《财政部、国家乡村</w:t>
      </w:r>
      <w:r>
        <w:rPr>
          <w:rFonts w:hint="eastAsia" w:ascii="仿宋" w:hAnsi="仿宋" w:eastAsia="仿宋" w:cs="仿宋"/>
          <w:spacing w:val="5"/>
          <w:sz w:val="32"/>
          <w:szCs w:val="32"/>
        </w:rPr>
        <w:t>振兴局、国家发展改革委、国家民委、农业农村部、国家林业和</w:t>
      </w:r>
      <w:r>
        <w:rPr>
          <w:rFonts w:hint="eastAsia" w:ascii="仿宋" w:hAnsi="仿宋" w:eastAsia="仿宋" w:cs="仿宋"/>
          <w:spacing w:val="6"/>
          <w:sz w:val="32"/>
          <w:szCs w:val="32"/>
        </w:rPr>
        <w:t>草原局关于印发〈中央财政衔接推进乡村振兴补助资金管理办法〉</w:t>
      </w:r>
      <w:r>
        <w:rPr>
          <w:rFonts w:hint="eastAsia" w:ascii="仿宋" w:hAnsi="仿宋" w:eastAsia="仿宋" w:cs="仿宋"/>
          <w:spacing w:val="4"/>
          <w:sz w:val="32"/>
          <w:szCs w:val="32"/>
        </w:rPr>
        <w:t xml:space="preserve"> 的通知》(财农〔2021〕19号)、《黑龙江省财政厅</w:t>
      </w:r>
      <w:r>
        <w:rPr>
          <w:rFonts w:hint="eastAsia" w:ascii="仿宋" w:hAnsi="仿宋" w:eastAsia="仿宋" w:cs="仿宋"/>
          <w:spacing w:val="3"/>
          <w:sz w:val="32"/>
          <w:szCs w:val="32"/>
        </w:rPr>
        <w:t>等六部门关</w:t>
      </w:r>
      <w:r>
        <w:rPr>
          <w:rFonts w:hint="eastAsia" w:ascii="仿宋" w:hAnsi="仿宋" w:eastAsia="仿宋" w:cs="仿宋"/>
          <w:spacing w:val="4"/>
          <w:sz w:val="32"/>
          <w:szCs w:val="32"/>
        </w:rPr>
        <w:t>于印发〈黑龙江省财政衔接推进乡村振兴补助资金管理办法〉的</w:t>
      </w:r>
      <w:r>
        <w:rPr>
          <w:rFonts w:hint="eastAsia" w:ascii="仿宋" w:hAnsi="仿宋" w:eastAsia="仿宋" w:cs="仿宋"/>
          <w:spacing w:val="11"/>
          <w:sz w:val="32"/>
          <w:szCs w:val="32"/>
        </w:rPr>
        <w:t>通知》(黑财规审〔2021〕13号》和预算管</w:t>
      </w:r>
      <w:r>
        <w:rPr>
          <w:rFonts w:hint="eastAsia" w:ascii="仿宋" w:hAnsi="仿宋" w:eastAsia="仿宋" w:cs="仿宋"/>
          <w:spacing w:val="10"/>
          <w:sz w:val="32"/>
          <w:szCs w:val="32"/>
        </w:rPr>
        <w:t>理等有关规定，制定</w:t>
      </w:r>
      <w:r>
        <w:rPr>
          <w:rFonts w:hint="eastAsia" w:ascii="仿宋" w:hAnsi="仿宋" w:eastAsia="仿宋" w:cs="仿宋"/>
          <w:spacing w:val="-2"/>
          <w:sz w:val="32"/>
          <w:szCs w:val="32"/>
        </w:rPr>
        <w:t>本办法。</w:t>
      </w:r>
    </w:p>
    <w:p>
      <w:pPr>
        <w:spacing w:before="336" w:line="343" w:lineRule="auto"/>
        <w:ind w:right="898" w:firstLine="729"/>
        <w:jc w:val="both"/>
        <w:rPr>
          <w:rFonts w:hint="eastAsia" w:ascii="仿宋" w:hAnsi="仿宋" w:eastAsia="仿宋" w:cs="仿宋"/>
          <w:sz w:val="32"/>
          <w:szCs w:val="32"/>
        </w:rPr>
      </w:pPr>
      <w:r>
        <w:rPr>
          <w:rFonts w:hint="eastAsia" w:ascii="仿宋" w:hAnsi="仿宋" w:eastAsia="仿宋" w:cs="仿宋"/>
          <w:spacing w:val="19"/>
          <w:sz w:val="32"/>
          <w:szCs w:val="32"/>
        </w:rPr>
        <w:t>第二条本办法所称衔接资金，是指中央和省级财政通过一般公共预算安排的用于支持区巩固拓展脱贫攻坚成果同乡村振</w:t>
      </w:r>
      <w:r>
        <w:rPr>
          <w:rFonts w:hint="eastAsia" w:ascii="仿宋" w:hAnsi="仿宋" w:eastAsia="仿宋" w:cs="仿宋"/>
          <w:spacing w:val="2"/>
          <w:sz w:val="32"/>
          <w:szCs w:val="32"/>
        </w:rPr>
        <w:t>兴有效衔接的资金。</w:t>
      </w:r>
    </w:p>
    <w:p>
      <w:pPr>
        <w:spacing w:before="252" w:line="600" w:lineRule="exact"/>
        <w:ind w:firstLine="716" w:firstLineChars="200"/>
        <w:rPr>
          <w:rFonts w:hint="eastAsia" w:ascii="仿宋" w:hAnsi="仿宋" w:eastAsia="仿宋" w:cs="仿宋"/>
          <w:spacing w:val="19"/>
          <w:position w:val="19"/>
          <w:sz w:val="32"/>
          <w:szCs w:val="32"/>
        </w:rPr>
      </w:pPr>
      <w:r>
        <w:rPr>
          <w:rFonts w:hint="eastAsia" w:ascii="仿宋" w:hAnsi="仿宋" w:eastAsia="仿宋" w:cs="仿宋"/>
          <w:spacing w:val="19"/>
          <w:position w:val="19"/>
          <w:sz w:val="32"/>
          <w:szCs w:val="32"/>
        </w:rPr>
        <w:t>第三条</w:t>
      </w:r>
      <w:r>
        <w:rPr>
          <w:rFonts w:hint="eastAsia" w:ascii="仿宋" w:hAnsi="仿宋" w:eastAsia="仿宋" w:cs="仿宋"/>
          <w:spacing w:val="19"/>
          <w:position w:val="19"/>
          <w:sz w:val="32"/>
          <w:szCs w:val="32"/>
          <w:lang w:val="en-US" w:eastAsia="zh-CN"/>
        </w:rPr>
        <w:t xml:space="preserve"> </w:t>
      </w:r>
      <w:r>
        <w:rPr>
          <w:rFonts w:hint="eastAsia" w:ascii="仿宋" w:hAnsi="仿宋" w:eastAsia="仿宋" w:cs="仿宋"/>
          <w:spacing w:val="19"/>
          <w:position w:val="19"/>
          <w:sz w:val="32"/>
          <w:szCs w:val="32"/>
        </w:rPr>
        <w:t>区财政部门应根据巩固拓展脱贫攻坚成果同乡村</w:t>
      </w:r>
      <w:r>
        <w:rPr>
          <w:rFonts w:hint="eastAsia" w:ascii="仿宋" w:hAnsi="仿宋" w:eastAsia="仿宋" w:cs="仿宋"/>
          <w:spacing w:val="18"/>
          <w:position w:val="19"/>
          <w:sz w:val="32"/>
          <w:szCs w:val="32"/>
        </w:rPr>
        <w:t>振</w:t>
      </w:r>
      <w:r>
        <w:rPr>
          <w:rFonts w:hint="eastAsia" w:ascii="仿宋" w:hAnsi="仿宋" w:eastAsia="仿宋" w:cs="仿宋"/>
          <w:spacing w:val="19"/>
          <w:position w:val="19"/>
          <w:sz w:val="32"/>
          <w:szCs w:val="32"/>
        </w:rPr>
        <w:t>兴有效衔接的任务需要及财力情况，每年预算安排一定规模的本级衔接资金，保持投入力度总体稳定。</w:t>
      </w:r>
    </w:p>
    <w:p>
      <w:pPr>
        <w:spacing w:before="252" w:line="600" w:lineRule="exact"/>
        <w:ind w:firstLine="716" w:firstLineChars="200"/>
        <w:rPr>
          <w:rFonts w:hint="eastAsia" w:ascii="仿宋" w:hAnsi="仿宋" w:eastAsia="仿宋" w:cs="仿宋"/>
          <w:spacing w:val="19"/>
          <w:position w:val="19"/>
          <w:sz w:val="32"/>
          <w:szCs w:val="32"/>
        </w:rPr>
      </w:pPr>
    </w:p>
    <w:p>
      <w:pPr>
        <w:spacing w:before="111" w:line="222" w:lineRule="auto"/>
        <w:ind w:firstLine="1837" w:firstLineChars="400"/>
        <w:jc w:val="both"/>
        <w:rPr>
          <w:rFonts w:hint="default" w:ascii="黑体" w:hAnsi="黑体" w:eastAsia="黑体" w:cs="黑体"/>
          <w:b/>
          <w:bCs/>
          <w:spacing w:val="69"/>
          <w:sz w:val="32"/>
          <w:szCs w:val="32"/>
          <w:lang w:val="en-US" w:eastAsia="zh-CN"/>
        </w:rPr>
      </w:pPr>
      <w:r>
        <w:rPr>
          <w:rFonts w:hint="eastAsia" w:ascii="黑体" w:hAnsi="黑体" w:eastAsia="黑体" w:cs="黑体"/>
          <w:b/>
          <w:bCs/>
          <w:spacing w:val="69"/>
          <w:sz w:val="32"/>
          <w:szCs w:val="32"/>
          <w:lang w:val="en-US" w:eastAsia="zh-CN"/>
        </w:rPr>
        <w:t>第二章  资金支出范围</w:t>
      </w:r>
    </w:p>
    <w:p>
      <w:pPr>
        <w:pStyle w:val="2"/>
        <w:rPr>
          <w:rFonts w:hint="eastAsia" w:ascii="仿宋" w:hAnsi="仿宋" w:eastAsia="仿宋" w:cs="仿宋"/>
          <w:spacing w:val="1"/>
          <w:sz w:val="32"/>
          <w:szCs w:val="32"/>
        </w:rPr>
      </w:pPr>
    </w:p>
    <w:p>
      <w:pPr>
        <w:pStyle w:val="2"/>
        <w:rPr>
          <w:rFonts w:hint="eastAsia" w:ascii="仿宋" w:hAnsi="仿宋" w:eastAsia="仿宋" w:cs="仿宋"/>
          <w:spacing w:val="1"/>
          <w:sz w:val="32"/>
          <w:szCs w:val="32"/>
        </w:rPr>
      </w:pPr>
    </w:p>
    <w:p>
      <w:pPr>
        <w:spacing w:before="110" w:line="670" w:lineRule="exact"/>
        <w:ind w:firstLine="724" w:firstLineChars="200"/>
        <w:rPr>
          <w:rFonts w:hint="eastAsia" w:ascii="仿宋" w:hAnsi="仿宋" w:eastAsia="仿宋" w:cs="仿宋"/>
          <w:spacing w:val="21"/>
          <w:position w:val="24"/>
          <w:sz w:val="32"/>
          <w:szCs w:val="32"/>
        </w:rPr>
      </w:pPr>
      <w:r>
        <w:rPr>
          <w:rFonts w:hint="eastAsia" w:ascii="仿宋" w:hAnsi="仿宋" w:eastAsia="仿宋" w:cs="仿宋"/>
          <w:spacing w:val="21"/>
          <w:position w:val="24"/>
          <w:sz w:val="32"/>
          <w:szCs w:val="32"/>
        </w:rPr>
        <w:t>第四条衔接资金用于支持我区巩固拓展脱贫攻坚成果同乡村振兴有效衔接，具体包括以下三个方面：</w:t>
      </w:r>
    </w:p>
    <w:p>
      <w:pPr>
        <w:spacing w:before="231" w:line="224" w:lineRule="auto"/>
        <w:ind w:firstLine="719" w:firstLineChars="200"/>
        <w:rPr>
          <w:rFonts w:hint="eastAsia" w:ascii="仿宋" w:hAnsi="仿宋" w:eastAsia="仿宋" w:cs="仿宋"/>
          <w:b/>
          <w:bCs/>
          <w:sz w:val="32"/>
          <w:szCs w:val="32"/>
        </w:rPr>
      </w:pPr>
      <w:r>
        <w:rPr>
          <w:rFonts w:hint="eastAsia" w:ascii="仿宋" w:hAnsi="仿宋" w:eastAsia="仿宋" w:cs="仿宋"/>
          <w:b/>
          <w:bCs/>
          <w:spacing w:val="19"/>
          <w:sz w:val="32"/>
          <w:szCs w:val="32"/>
        </w:rPr>
        <w:t>(一)支持巩固拓展脱贫攻坚成果</w:t>
      </w:r>
    </w:p>
    <w:p>
      <w:pPr>
        <w:spacing w:before="235" w:line="353" w:lineRule="auto"/>
        <w:ind w:right="557" w:firstLine="720"/>
        <w:rPr>
          <w:rFonts w:hint="eastAsia" w:ascii="仿宋" w:hAnsi="仿宋" w:eastAsia="仿宋" w:cs="仿宋"/>
          <w:sz w:val="32"/>
          <w:szCs w:val="32"/>
        </w:rPr>
      </w:pPr>
      <w:r>
        <w:rPr>
          <w:rFonts w:hint="eastAsia" w:ascii="仿宋" w:hAnsi="仿宋" w:eastAsia="仿宋" w:cs="仿宋"/>
          <w:spacing w:val="8"/>
          <w:sz w:val="32"/>
          <w:szCs w:val="32"/>
        </w:rPr>
        <w:t>1.健全防止返贫致贫监测和帮扶机制，加强监测预警，</w:t>
      </w:r>
      <w:r>
        <w:rPr>
          <w:rFonts w:hint="eastAsia" w:ascii="仿宋" w:hAnsi="仿宋" w:eastAsia="仿宋" w:cs="仿宋"/>
          <w:spacing w:val="7"/>
          <w:sz w:val="32"/>
          <w:szCs w:val="32"/>
        </w:rPr>
        <w:t>强化</w:t>
      </w:r>
      <w:r>
        <w:rPr>
          <w:rFonts w:hint="eastAsia" w:ascii="仿宋" w:hAnsi="仿宋" w:eastAsia="仿宋" w:cs="仿宋"/>
          <w:sz w:val="32"/>
          <w:szCs w:val="32"/>
        </w:rPr>
        <w:t xml:space="preserve">  </w:t>
      </w:r>
      <w:r>
        <w:rPr>
          <w:rFonts w:hint="eastAsia" w:ascii="仿宋" w:hAnsi="仿宋" w:eastAsia="仿宋" w:cs="仿宋"/>
          <w:spacing w:val="9"/>
          <w:sz w:val="32"/>
          <w:szCs w:val="32"/>
        </w:rPr>
        <w:t>及时帮扶，对监测帮扶对象采取有针对性的预防性措施和事后帮</w:t>
      </w:r>
      <w:r>
        <w:rPr>
          <w:rFonts w:hint="eastAsia" w:ascii="仿宋" w:hAnsi="仿宋" w:eastAsia="仿宋" w:cs="仿宋"/>
          <w:spacing w:val="14"/>
          <w:sz w:val="32"/>
          <w:szCs w:val="32"/>
        </w:rPr>
        <w:t xml:space="preserve"> </w:t>
      </w:r>
      <w:r>
        <w:rPr>
          <w:rFonts w:hint="eastAsia" w:ascii="仿宋" w:hAnsi="仿宋" w:eastAsia="仿宋" w:cs="仿宋"/>
          <w:spacing w:val="10"/>
          <w:sz w:val="32"/>
          <w:szCs w:val="32"/>
        </w:rPr>
        <w:t>扶措施。可安排中央和省级衔接资金用于产业发展、小额信贷贴</w:t>
      </w:r>
      <w:r>
        <w:rPr>
          <w:rFonts w:hint="eastAsia" w:ascii="仿宋" w:hAnsi="仿宋" w:eastAsia="仿宋" w:cs="仿宋"/>
          <w:spacing w:val="9"/>
          <w:sz w:val="32"/>
          <w:szCs w:val="32"/>
        </w:rPr>
        <w:t>息、生产经营和劳动技能培训、公益岗位补助等支出。低保、医</w:t>
      </w:r>
      <w:r>
        <w:rPr>
          <w:rFonts w:hint="eastAsia" w:ascii="仿宋" w:hAnsi="仿宋" w:eastAsia="仿宋" w:cs="仿宋"/>
          <w:spacing w:val="2"/>
          <w:sz w:val="32"/>
          <w:szCs w:val="32"/>
        </w:rPr>
        <w:t>保、养老保险、临时救助等综合保障措施，通过原资金渠道支持。</w:t>
      </w:r>
      <w:r>
        <w:rPr>
          <w:rFonts w:hint="eastAsia" w:ascii="仿宋" w:hAnsi="仿宋" w:eastAsia="仿宋" w:cs="仿宋"/>
          <w:spacing w:val="10"/>
          <w:sz w:val="32"/>
          <w:szCs w:val="32"/>
        </w:rPr>
        <w:t xml:space="preserve"> 监测预警工作经费通过各级部门预算安排。另外，省级衔接资金</w:t>
      </w:r>
      <w:r>
        <w:rPr>
          <w:rFonts w:hint="eastAsia" w:ascii="仿宋" w:hAnsi="仿宋" w:eastAsia="仿宋" w:cs="仿宋"/>
          <w:spacing w:val="12"/>
          <w:sz w:val="32"/>
          <w:szCs w:val="32"/>
        </w:rPr>
        <w:t>还可用于监测帮扶对象的小额信贷贴息、风险</w:t>
      </w:r>
      <w:r>
        <w:rPr>
          <w:rFonts w:hint="eastAsia" w:ascii="仿宋" w:hAnsi="仿宋" w:eastAsia="仿宋" w:cs="仿宋"/>
          <w:spacing w:val="11"/>
          <w:sz w:val="32"/>
          <w:szCs w:val="32"/>
        </w:rPr>
        <w:t>补偿金、产业发展</w:t>
      </w:r>
      <w:r>
        <w:rPr>
          <w:rFonts w:hint="eastAsia" w:ascii="仿宋" w:hAnsi="仿宋" w:eastAsia="仿宋" w:cs="仿宋"/>
          <w:spacing w:val="2"/>
          <w:sz w:val="32"/>
          <w:szCs w:val="32"/>
        </w:rPr>
        <w:t>和公益岗位补助。</w:t>
      </w:r>
    </w:p>
    <w:p>
      <w:pPr>
        <w:spacing w:before="243" w:line="353" w:lineRule="auto"/>
        <w:ind w:left="9" w:right="512" w:firstLine="710"/>
        <w:rPr>
          <w:rFonts w:hint="eastAsia" w:ascii="仿宋" w:hAnsi="仿宋" w:eastAsia="仿宋" w:cs="仿宋"/>
          <w:sz w:val="32"/>
          <w:szCs w:val="32"/>
        </w:rPr>
      </w:pPr>
      <w:r>
        <w:rPr>
          <w:rFonts w:hint="eastAsia" w:ascii="仿宋" w:hAnsi="仿宋" w:eastAsia="仿宋" w:cs="仿宋"/>
          <w:spacing w:val="12"/>
          <w:sz w:val="32"/>
          <w:szCs w:val="32"/>
        </w:rPr>
        <w:t>2.外出务工监测帮扶对象劳动力稳定就业，可对跨省稳定就</w:t>
      </w:r>
      <w:r>
        <w:rPr>
          <w:rFonts w:hint="eastAsia" w:ascii="仿宋" w:hAnsi="仿宋" w:eastAsia="仿宋" w:cs="仿宋"/>
          <w:sz w:val="32"/>
          <w:szCs w:val="32"/>
        </w:rPr>
        <w:t xml:space="preserve"> </w:t>
      </w:r>
      <w:r>
        <w:rPr>
          <w:rFonts w:hint="eastAsia" w:ascii="仿宋" w:hAnsi="仿宋" w:eastAsia="仿宋" w:cs="仿宋"/>
          <w:spacing w:val="17"/>
          <w:sz w:val="32"/>
          <w:szCs w:val="32"/>
        </w:rPr>
        <w:t>业3个月以上的监测帮扶对象劳动力，每人每年安排一次性交通</w:t>
      </w:r>
      <w:r>
        <w:rPr>
          <w:rFonts w:hint="eastAsia" w:ascii="仿宋" w:hAnsi="仿宋" w:eastAsia="仿宋" w:cs="仿宋"/>
          <w:spacing w:val="6"/>
          <w:sz w:val="32"/>
          <w:szCs w:val="32"/>
        </w:rPr>
        <w:t xml:space="preserve"> </w:t>
      </w:r>
      <w:r>
        <w:rPr>
          <w:rFonts w:hint="eastAsia" w:ascii="仿宋" w:hAnsi="仿宋" w:eastAsia="仿宋" w:cs="仿宋"/>
          <w:spacing w:val="33"/>
          <w:sz w:val="32"/>
          <w:szCs w:val="32"/>
        </w:rPr>
        <w:t>补助500元(实际往返一次交通费不足500元的，据实补助)。</w:t>
      </w:r>
      <w:r>
        <w:rPr>
          <w:rFonts w:hint="eastAsia" w:ascii="仿宋" w:hAnsi="仿宋" w:eastAsia="仿宋" w:cs="仿宋"/>
          <w:sz w:val="32"/>
          <w:szCs w:val="32"/>
        </w:rPr>
        <w:t xml:space="preserve"> </w:t>
      </w:r>
      <w:r>
        <w:rPr>
          <w:rFonts w:hint="eastAsia" w:ascii="仿宋" w:hAnsi="仿宋" w:eastAsia="仿宋" w:cs="仿宋"/>
          <w:spacing w:val="14"/>
          <w:sz w:val="32"/>
          <w:szCs w:val="32"/>
        </w:rPr>
        <w:t>采取扶贫车间、以工代赈、生产奖补、劳务补助等方式，促进返</w:t>
      </w:r>
      <w:r>
        <w:rPr>
          <w:rFonts w:hint="eastAsia" w:ascii="仿宋" w:hAnsi="仿宋" w:eastAsia="仿宋" w:cs="仿宋"/>
          <w:spacing w:val="16"/>
          <w:sz w:val="32"/>
          <w:szCs w:val="32"/>
        </w:rPr>
        <w:t>乡在乡监测帮扶对象劳动力发展产业和就业增收。继续</w:t>
      </w:r>
      <w:r>
        <w:rPr>
          <w:rFonts w:hint="eastAsia" w:ascii="仿宋" w:hAnsi="仿宋" w:eastAsia="仿宋" w:cs="仿宋"/>
          <w:spacing w:val="15"/>
          <w:sz w:val="32"/>
          <w:szCs w:val="32"/>
        </w:rPr>
        <w:t>向符合条</w:t>
      </w:r>
    </w:p>
    <w:p>
      <w:pPr>
        <w:spacing w:line="219" w:lineRule="auto"/>
        <w:ind w:left="9"/>
        <w:rPr>
          <w:rFonts w:hint="eastAsia" w:ascii="仿宋" w:hAnsi="仿宋" w:eastAsia="仿宋" w:cs="仿宋"/>
          <w:spacing w:val="25"/>
          <w:sz w:val="32"/>
          <w:szCs w:val="32"/>
        </w:rPr>
      </w:pPr>
      <w:r>
        <w:rPr>
          <w:rFonts w:hint="eastAsia" w:ascii="仿宋" w:hAnsi="仿宋" w:eastAsia="仿宋" w:cs="仿宋"/>
          <w:spacing w:val="25"/>
          <w:sz w:val="32"/>
          <w:szCs w:val="32"/>
        </w:rPr>
        <w:t>件的脱贫家庭(含监测帮扶对象家庭)安排“雨露计划”补助。</w:t>
      </w:r>
    </w:p>
    <w:p>
      <w:pPr>
        <w:spacing w:line="219" w:lineRule="auto"/>
        <w:ind w:left="9" w:firstLine="727" w:firstLineChars="200"/>
        <w:rPr>
          <w:rFonts w:hint="eastAsia" w:ascii="仿宋" w:hAnsi="仿宋" w:eastAsia="仿宋" w:cs="仿宋"/>
          <w:b/>
          <w:bCs/>
          <w:spacing w:val="21"/>
          <w:sz w:val="32"/>
          <w:szCs w:val="32"/>
        </w:rPr>
      </w:pPr>
    </w:p>
    <w:p>
      <w:pPr>
        <w:spacing w:line="219" w:lineRule="auto"/>
        <w:ind w:left="9" w:firstLine="727" w:firstLineChars="200"/>
        <w:rPr>
          <w:rFonts w:hint="eastAsia" w:ascii="仿宋" w:hAnsi="仿宋" w:eastAsia="仿宋" w:cs="仿宋"/>
          <w:sz w:val="32"/>
          <w:szCs w:val="32"/>
        </w:rPr>
      </w:pPr>
      <w:r>
        <w:rPr>
          <w:rFonts w:hint="eastAsia" w:ascii="仿宋" w:hAnsi="仿宋" w:eastAsia="仿宋" w:cs="仿宋"/>
          <w:b/>
          <w:bCs/>
          <w:spacing w:val="21"/>
          <w:sz w:val="32"/>
          <w:szCs w:val="32"/>
        </w:rPr>
        <w:t>(二)支持衔接推进乡村振兴</w:t>
      </w:r>
    </w:p>
    <w:p>
      <w:pPr>
        <w:spacing w:before="66" w:line="347" w:lineRule="auto"/>
        <w:ind w:right="857" w:firstLine="640" w:firstLineChars="200"/>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3360" behindDoc="1" locked="0" layoutInCell="0" allowOverlap="1">
            <wp:simplePos x="0" y="0"/>
            <wp:positionH relativeFrom="page">
              <wp:posOffset>3581400</wp:posOffset>
            </wp:positionH>
            <wp:positionV relativeFrom="page">
              <wp:posOffset>9073515</wp:posOffset>
            </wp:positionV>
            <wp:extent cx="1079500" cy="1035050"/>
            <wp:effectExtent l="0" t="0" r="6350" b="1270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
                    <a:stretch>
                      <a:fillRect/>
                    </a:stretch>
                  </pic:blipFill>
                  <pic:spPr>
                    <a:xfrm>
                      <a:off x="0" y="0"/>
                      <a:ext cx="1079521" cy="1035121"/>
                    </a:xfrm>
                    <a:prstGeom prst="rect">
                      <a:avLst/>
                    </a:prstGeom>
                  </pic:spPr>
                </pic:pic>
              </a:graphicData>
            </a:graphic>
          </wp:anchor>
        </w:drawing>
      </w:r>
      <w:r>
        <w:rPr>
          <w:rFonts w:hint="eastAsia" w:ascii="仿宋" w:hAnsi="仿宋" w:eastAsia="仿宋" w:cs="仿宋"/>
          <w:spacing w:val="7"/>
          <w:sz w:val="32"/>
          <w:szCs w:val="32"/>
        </w:rPr>
        <w:t>1.培育和壮大特色优势产业并逐年提高资金占比，支持农业</w:t>
      </w:r>
      <w:r>
        <w:rPr>
          <w:rFonts w:hint="eastAsia" w:ascii="仿宋" w:hAnsi="仿宋" w:eastAsia="仿宋" w:cs="仿宋"/>
          <w:spacing w:val="1"/>
          <w:sz w:val="32"/>
          <w:szCs w:val="32"/>
        </w:rPr>
        <w:t xml:space="preserve"> </w:t>
      </w:r>
      <w:r>
        <w:rPr>
          <w:rFonts w:hint="eastAsia" w:ascii="仿宋" w:hAnsi="仿宋" w:eastAsia="仿宋" w:cs="仿宋"/>
          <w:spacing w:val="8"/>
          <w:sz w:val="32"/>
          <w:szCs w:val="32"/>
        </w:rPr>
        <w:t>品种培优、品质提升、品牌打造。重点支持以“粮头食尾”“农</w:t>
      </w:r>
      <w:r>
        <w:rPr>
          <w:rFonts w:hint="eastAsia" w:ascii="仿宋" w:hAnsi="仿宋" w:eastAsia="仿宋" w:cs="仿宋"/>
          <w:spacing w:val="4"/>
          <w:sz w:val="32"/>
          <w:szCs w:val="32"/>
        </w:rPr>
        <w:t xml:space="preserve"> </w:t>
      </w:r>
      <w:r>
        <w:rPr>
          <w:rFonts w:hint="eastAsia" w:ascii="仿宋" w:hAnsi="仿宋" w:eastAsia="仿宋" w:cs="仿宋"/>
          <w:spacing w:val="7"/>
          <w:sz w:val="32"/>
          <w:szCs w:val="32"/>
        </w:rPr>
        <w:t>头工尾”为抓手，围绕玉米、水稻、乳、肉、大豆、果蔬、食用</w:t>
      </w:r>
      <w:r>
        <w:rPr>
          <w:rFonts w:hint="eastAsia" w:ascii="仿宋" w:hAnsi="仿宋" w:eastAsia="仿宋" w:cs="仿宋"/>
          <w:spacing w:val="6"/>
          <w:sz w:val="32"/>
          <w:szCs w:val="32"/>
        </w:rPr>
        <w:t>菌、杂粮杂豆、中药材、汉麻、马铃薯和渔业等优势特色产业，</w:t>
      </w:r>
      <w:r>
        <w:rPr>
          <w:rFonts w:hint="eastAsia" w:ascii="仿宋" w:hAnsi="仿宋" w:eastAsia="仿宋" w:cs="仿宋"/>
          <w:spacing w:val="10"/>
          <w:sz w:val="32"/>
          <w:szCs w:val="32"/>
        </w:rPr>
        <w:t>建设全产业链项目。提升农产品加工业，加快</w:t>
      </w:r>
      <w:r>
        <w:rPr>
          <w:rFonts w:hint="eastAsia" w:ascii="仿宋" w:hAnsi="仿宋" w:eastAsia="仿宋" w:cs="仿宋"/>
          <w:spacing w:val="9"/>
          <w:sz w:val="32"/>
          <w:szCs w:val="32"/>
        </w:rPr>
        <w:t>农产品仓储保鲜冷</w:t>
      </w:r>
      <w:r>
        <w:rPr>
          <w:rFonts w:hint="eastAsia" w:ascii="仿宋" w:hAnsi="仿宋" w:eastAsia="仿宋" w:cs="仿宋"/>
          <w:spacing w:val="10"/>
          <w:sz w:val="32"/>
          <w:szCs w:val="32"/>
        </w:rPr>
        <w:t>链设施建设，推动农业品牌建设，完善联农带农机制</w:t>
      </w:r>
      <w:r>
        <w:rPr>
          <w:rFonts w:hint="eastAsia" w:ascii="仿宋" w:hAnsi="仿宋" w:eastAsia="仿宋" w:cs="仿宋"/>
          <w:spacing w:val="9"/>
          <w:sz w:val="32"/>
          <w:szCs w:val="32"/>
        </w:rPr>
        <w:t>，发展电子</w:t>
      </w:r>
      <w:r>
        <w:rPr>
          <w:rFonts w:hint="eastAsia" w:ascii="仿宋" w:hAnsi="仿宋" w:eastAsia="仿宋" w:cs="仿宋"/>
          <w:spacing w:val="10"/>
          <w:sz w:val="32"/>
          <w:szCs w:val="32"/>
        </w:rPr>
        <w:t>商务、休闲农业和乡村旅游等乡村新产业新业</w:t>
      </w:r>
      <w:r>
        <w:rPr>
          <w:rFonts w:hint="eastAsia" w:ascii="仿宋" w:hAnsi="仿宋" w:eastAsia="仿宋" w:cs="仿宋"/>
          <w:spacing w:val="9"/>
          <w:sz w:val="32"/>
          <w:szCs w:val="32"/>
        </w:rPr>
        <w:t>态。推动产销对接</w:t>
      </w:r>
      <w:r>
        <w:rPr>
          <w:rFonts w:hint="eastAsia" w:ascii="仿宋" w:hAnsi="仿宋" w:eastAsia="仿宋" w:cs="仿宋"/>
          <w:spacing w:val="11"/>
          <w:sz w:val="32"/>
          <w:szCs w:val="32"/>
        </w:rPr>
        <w:t>和消费帮扶，解决农产品“卖难”问题。支持必要的产业配套基</w:t>
      </w:r>
    </w:p>
    <w:p>
      <w:pPr>
        <w:spacing w:before="1" w:line="220" w:lineRule="auto"/>
        <w:rPr>
          <w:rFonts w:hint="eastAsia" w:ascii="仿宋" w:hAnsi="仿宋" w:eastAsia="仿宋" w:cs="仿宋"/>
          <w:sz w:val="32"/>
          <w:szCs w:val="32"/>
        </w:rPr>
      </w:pPr>
      <w:r>
        <w:rPr>
          <w:rFonts w:hint="eastAsia" w:ascii="仿宋" w:hAnsi="仿宋" w:eastAsia="仿宋" w:cs="仿宋"/>
          <w:spacing w:val="7"/>
          <w:sz w:val="32"/>
          <w:szCs w:val="32"/>
        </w:rPr>
        <w:t>础设施建设。</w:t>
      </w:r>
    </w:p>
    <w:p>
      <w:pPr>
        <w:spacing w:before="220" w:line="347" w:lineRule="auto"/>
        <w:ind w:left="9" w:right="835" w:firstLine="689"/>
        <w:rPr>
          <w:rFonts w:hint="eastAsia" w:ascii="仿宋" w:hAnsi="仿宋" w:eastAsia="仿宋" w:cs="仿宋"/>
          <w:sz w:val="32"/>
          <w:szCs w:val="32"/>
        </w:rPr>
      </w:pPr>
      <w:r>
        <w:rPr>
          <w:rFonts w:hint="eastAsia" w:ascii="仿宋" w:hAnsi="仿宋" w:eastAsia="仿宋" w:cs="仿宋"/>
          <w:spacing w:val="24"/>
          <w:sz w:val="32"/>
          <w:szCs w:val="32"/>
        </w:rPr>
        <w:t>2.补齐必要的农村人居环境整治和小型公益性基础设施建</w:t>
      </w:r>
      <w:r>
        <w:rPr>
          <w:rFonts w:hint="eastAsia" w:ascii="仿宋" w:hAnsi="仿宋" w:eastAsia="仿宋" w:cs="仿宋"/>
          <w:spacing w:val="9"/>
          <w:sz w:val="32"/>
          <w:szCs w:val="32"/>
        </w:rPr>
        <w:t xml:space="preserve"> </w:t>
      </w:r>
      <w:r>
        <w:rPr>
          <w:rFonts w:hint="eastAsia" w:ascii="仿宋" w:hAnsi="仿宋" w:eastAsia="仿宋" w:cs="仿宋"/>
          <w:spacing w:val="12"/>
          <w:sz w:val="32"/>
          <w:szCs w:val="32"/>
        </w:rPr>
        <w:t>设短板。主要包括水、电、路、网等农业生产配套设施，</w:t>
      </w:r>
      <w:r>
        <w:rPr>
          <w:rFonts w:hint="eastAsia" w:ascii="仿宋" w:hAnsi="仿宋" w:eastAsia="仿宋" w:cs="仿宋"/>
          <w:spacing w:val="11"/>
          <w:sz w:val="32"/>
          <w:szCs w:val="32"/>
        </w:rPr>
        <w:t>以及垃</w:t>
      </w:r>
      <w:r>
        <w:rPr>
          <w:rFonts w:hint="eastAsia" w:ascii="仿宋" w:hAnsi="仿宋" w:eastAsia="仿宋" w:cs="仿宋"/>
          <w:sz w:val="32"/>
          <w:szCs w:val="32"/>
        </w:rPr>
        <w:t xml:space="preserve"> </w:t>
      </w:r>
      <w:r>
        <w:rPr>
          <w:rFonts w:hint="eastAsia" w:ascii="仿宋" w:hAnsi="仿宋" w:eastAsia="仿宋" w:cs="仿宋"/>
          <w:spacing w:val="12"/>
          <w:sz w:val="32"/>
          <w:szCs w:val="32"/>
        </w:rPr>
        <w:t>圾清运等小型公益性生活设施。教育、卫生、养老服务、文化</w:t>
      </w:r>
      <w:r>
        <w:rPr>
          <w:rFonts w:hint="eastAsia" w:ascii="仿宋" w:hAnsi="仿宋" w:eastAsia="仿宋" w:cs="仿宋"/>
          <w:spacing w:val="11"/>
          <w:sz w:val="32"/>
          <w:szCs w:val="32"/>
        </w:rPr>
        <w:t>等</w:t>
      </w:r>
      <w:r>
        <w:rPr>
          <w:rFonts w:hint="eastAsia" w:ascii="仿宋" w:hAnsi="仿宋" w:eastAsia="仿宋" w:cs="仿宋"/>
          <w:spacing w:val="9"/>
          <w:sz w:val="32"/>
          <w:szCs w:val="32"/>
        </w:rPr>
        <w:t>农村基本公共服务通过原资金渠道支持。</w:t>
      </w:r>
    </w:p>
    <w:p>
      <w:pPr>
        <w:spacing w:before="230" w:line="620" w:lineRule="exact"/>
        <w:ind w:firstLine="684" w:firstLineChars="200"/>
        <w:rPr>
          <w:rFonts w:hint="eastAsia" w:ascii="仿宋" w:hAnsi="仿宋" w:eastAsia="仿宋" w:cs="仿宋"/>
          <w:sz w:val="32"/>
          <w:szCs w:val="32"/>
        </w:rPr>
      </w:pPr>
      <w:r>
        <w:rPr>
          <w:rFonts w:hint="eastAsia" w:ascii="仿宋" w:hAnsi="仿宋" w:eastAsia="仿宋" w:cs="仿宋"/>
          <w:spacing w:val="11"/>
          <w:position w:val="21"/>
          <w:sz w:val="32"/>
          <w:szCs w:val="32"/>
        </w:rPr>
        <w:t>3.实施兴边富民行动、人口较少民族发展、少数民族特色产业发展，以工代赈项目，欠发达国有林场巩固发展。</w:t>
      </w:r>
    </w:p>
    <w:p>
      <w:pPr>
        <w:spacing w:before="240" w:line="219" w:lineRule="auto"/>
        <w:ind w:firstLine="727" w:firstLineChars="200"/>
        <w:rPr>
          <w:rFonts w:hint="eastAsia" w:ascii="仿宋" w:hAnsi="仿宋" w:eastAsia="仿宋" w:cs="仿宋"/>
          <w:b/>
          <w:bCs/>
          <w:spacing w:val="21"/>
          <w:sz w:val="32"/>
          <w:szCs w:val="32"/>
        </w:rPr>
      </w:pPr>
      <w:r>
        <w:rPr>
          <w:rFonts w:hint="eastAsia" w:ascii="仿宋" w:hAnsi="仿宋" w:eastAsia="仿宋" w:cs="仿宋"/>
          <w:b/>
          <w:bCs/>
          <w:spacing w:val="21"/>
          <w:sz w:val="32"/>
          <w:szCs w:val="32"/>
        </w:rPr>
        <w:t>(三)巩固拓展脱贫攻坚成果同乡村振兴有效衔接的其他相关支出</w:t>
      </w:r>
    </w:p>
    <w:p>
      <w:pPr>
        <w:spacing w:before="188" w:line="358" w:lineRule="auto"/>
        <w:ind w:left="9" w:right="793" w:firstLine="689"/>
        <w:jc w:val="both"/>
        <w:rPr>
          <w:rFonts w:hint="eastAsia" w:ascii="仿宋" w:hAnsi="仿宋" w:eastAsia="仿宋" w:cs="仿宋"/>
          <w:sz w:val="32"/>
          <w:szCs w:val="32"/>
        </w:rPr>
      </w:pPr>
      <w:r>
        <w:rPr>
          <w:rFonts w:hint="eastAsia" w:ascii="仿宋" w:hAnsi="仿宋" w:eastAsia="仿宋" w:cs="仿宋"/>
          <w:spacing w:val="26"/>
          <w:sz w:val="32"/>
          <w:szCs w:val="32"/>
        </w:rPr>
        <w:t>第五条</w:t>
      </w:r>
      <w:r>
        <w:rPr>
          <w:rFonts w:hint="eastAsia" w:ascii="仿宋" w:hAnsi="仿宋" w:eastAsia="仿宋" w:cs="仿宋"/>
          <w:spacing w:val="26"/>
          <w:sz w:val="32"/>
          <w:szCs w:val="32"/>
          <w:lang w:val="en-US" w:eastAsia="zh-CN"/>
        </w:rPr>
        <w:t xml:space="preserve"> </w:t>
      </w:r>
      <w:r>
        <w:rPr>
          <w:rFonts w:hint="eastAsia" w:ascii="仿宋" w:hAnsi="仿宋" w:eastAsia="仿宋" w:cs="仿宋"/>
          <w:spacing w:val="26"/>
          <w:sz w:val="32"/>
          <w:szCs w:val="32"/>
        </w:rPr>
        <w:t>衔接资金不得用于与巩固拓展脱贫攻坚成果和推进</w:t>
      </w:r>
      <w:r>
        <w:rPr>
          <w:rFonts w:hint="eastAsia" w:ascii="仿宋" w:hAnsi="仿宋" w:eastAsia="仿宋" w:cs="仿宋"/>
          <w:spacing w:val="13"/>
          <w:sz w:val="32"/>
          <w:szCs w:val="32"/>
        </w:rPr>
        <w:t>欠发达地区乡村振兴无关的支出，包括：单位基本支出、交通工</w:t>
      </w:r>
      <w:r>
        <w:rPr>
          <w:rFonts w:hint="eastAsia" w:ascii="仿宋" w:hAnsi="仿宋" w:eastAsia="仿宋" w:cs="仿宋"/>
          <w:spacing w:val="12"/>
          <w:sz w:val="32"/>
          <w:szCs w:val="32"/>
        </w:rPr>
        <w:t>具及通讯设备、修建楼堂馆所、各种奖金津贴和福利补助、</w:t>
      </w:r>
      <w:r>
        <w:rPr>
          <w:rFonts w:hint="eastAsia" w:ascii="仿宋" w:hAnsi="仿宋" w:eastAsia="仿宋" w:cs="仿宋"/>
          <w:spacing w:val="11"/>
          <w:sz w:val="32"/>
          <w:szCs w:val="32"/>
        </w:rPr>
        <w:t>偿还</w:t>
      </w:r>
      <w:r>
        <w:rPr>
          <w:rFonts w:hint="eastAsia" w:ascii="仿宋" w:hAnsi="仿宋" w:eastAsia="仿宋" w:cs="仿宋"/>
          <w:spacing w:val="4"/>
          <w:sz w:val="32"/>
          <w:szCs w:val="32"/>
        </w:rPr>
        <w:t>债务和垫资等。</w:t>
      </w:r>
    </w:p>
    <w:p>
      <w:pPr>
        <w:keepNext w:val="0"/>
        <w:keepLines w:val="0"/>
        <w:pageBreakBefore w:val="0"/>
        <w:widowControl w:val="0"/>
        <w:kinsoku/>
        <w:wordWrap/>
        <w:overflowPunct/>
        <w:topLinePunct w:val="0"/>
        <w:autoSpaceDE/>
        <w:autoSpaceDN/>
        <w:bidi w:val="0"/>
        <w:adjustRightInd/>
        <w:snapToGrid/>
        <w:spacing w:before="239" w:line="580" w:lineRule="exact"/>
        <w:ind w:firstLine="740" w:firstLineChars="200"/>
        <w:jc w:val="left"/>
        <w:textAlignment w:val="auto"/>
        <w:rPr>
          <w:rFonts w:hint="eastAsia" w:ascii="仿宋" w:hAnsi="仿宋" w:eastAsia="仿宋" w:cs="仿宋"/>
          <w:spacing w:val="28"/>
          <w:sz w:val="32"/>
          <w:szCs w:val="32"/>
        </w:rPr>
      </w:pPr>
      <w:r>
        <w:rPr>
          <w:rFonts w:hint="eastAsia" w:ascii="仿宋" w:hAnsi="仿宋" w:eastAsia="仿宋" w:cs="仿宋"/>
          <w:spacing w:val="25"/>
          <w:sz w:val="32"/>
          <w:szCs w:val="32"/>
        </w:rPr>
        <w:t>第六条</w:t>
      </w:r>
      <w:r>
        <w:rPr>
          <w:rFonts w:hint="eastAsia" w:ascii="仿宋" w:hAnsi="仿宋" w:eastAsia="仿宋" w:cs="仿宋"/>
          <w:spacing w:val="25"/>
          <w:sz w:val="32"/>
          <w:szCs w:val="32"/>
          <w:lang w:val="en-US" w:eastAsia="zh-CN"/>
        </w:rPr>
        <w:t xml:space="preserve"> </w:t>
      </w:r>
      <w:r>
        <w:rPr>
          <w:rFonts w:hint="eastAsia" w:ascii="仿宋" w:hAnsi="仿宋" w:eastAsia="仿宋" w:cs="仿宋"/>
          <w:spacing w:val="28"/>
          <w:sz w:val="32"/>
          <w:szCs w:val="32"/>
        </w:rPr>
        <w:t>各地可按照不超过1%的比例从中央和省级衔接资金中统筹安排项目管理费，由区级使用，不足部分由区级财政解决。 项目管理费主要用于项目前期设计、评审、招标、监理以及验收等与项目管理相关的支出。</w:t>
      </w:r>
    </w:p>
    <w:p>
      <w:pPr>
        <w:spacing w:line="244" w:lineRule="auto"/>
        <w:rPr>
          <w:rFonts w:hint="eastAsia" w:ascii="仿宋" w:hAnsi="仿宋" w:eastAsia="仿宋" w:cs="仿宋"/>
          <w:sz w:val="32"/>
          <w:szCs w:val="32"/>
        </w:rPr>
      </w:pPr>
    </w:p>
    <w:p>
      <w:pPr>
        <w:spacing w:before="110" w:line="222" w:lineRule="auto"/>
        <w:ind w:firstLine="2445" w:firstLineChars="700"/>
        <w:jc w:val="both"/>
        <w:rPr>
          <w:rFonts w:hint="eastAsia" w:ascii="仿宋" w:hAnsi="仿宋" w:eastAsia="仿宋" w:cs="仿宋"/>
          <w:sz w:val="32"/>
          <w:szCs w:val="32"/>
        </w:rPr>
      </w:pPr>
      <w:r>
        <w:rPr>
          <w:rFonts w:hint="eastAsia" w:ascii="黑体" w:hAnsi="黑体" w:eastAsia="黑体" w:cs="黑体"/>
          <w:b/>
          <w:bCs/>
          <w:spacing w:val="14"/>
          <w:sz w:val="32"/>
          <w:szCs w:val="32"/>
        </w:rPr>
        <w:t>第三章</w:t>
      </w:r>
      <w:r>
        <w:rPr>
          <w:rFonts w:hint="eastAsia" w:ascii="黑体" w:hAnsi="黑体" w:eastAsia="黑体" w:cs="黑体"/>
          <w:b/>
          <w:bCs/>
          <w:spacing w:val="14"/>
          <w:sz w:val="32"/>
          <w:szCs w:val="32"/>
          <w:lang w:val="en-US" w:eastAsia="zh-CN"/>
        </w:rPr>
        <w:t xml:space="preserve"> </w:t>
      </w:r>
      <w:r>
        <w:rPr>
          <w:rFonts w:hint="eastAsia" w:ascii="黑体" w:hAnsi="黑体" w:eastAsia="黑体" w:cs="黑体"/>
          <w:b/>
          <w:bCs/>
          <w:spacing w:val="14"/>
          <w:sz w:val="32"/>
          <w:szCs w:val="32"/>
        </w:rPr>
        <w:t>资金分配与下达</w:t>
      </w:r>
    </w:p>
    <w:p>
      <w:pPr>
        <w:spacing w:before="110" w:line="348" w:lineRule="auto"/>
        <w:ind w:right="589" w:firstLine="712" w:firstLineChars="200"/>
        <w:rPr>
          <w:rFonts w:hint="eastAsia" w:ascii="仿宋" w:hAnsi="仿宋" w:eastAsia="仿宋" w:cs="仿宋"/>
          <w:sz w:val="32"/>
          <w:szCs w:val="32"/>
        </w:rPr>
      </w:pPr>
      <w:r>
        <w:rPr>
          <w:rFonts w:hint="eastAsia" w:ascii="仿宋" w:hAnsi="仿宋" w:eastAsia="仿宋" w:cs="仿宋"/>
          <w:spacing w:val="18"/>
          <w:sz w:val="32"/>
          <w:szCs w:val="32"/>
        </w:rPr>
        <w:t>第七条</w:t>
      </w:r>
      <w:r>
        <w:rPr>
          <w:rFonts w:hint="eastAsia" w:ascii="仿宋" w:hAnsi="仿宋" w:eastAsia="仿宋" w:cs="仿宋"/>
          <w:spacing w:val="18"/>
          <w:sz w:val="32"/>
          <w:szCs w:val="32"/>
          <w:lang w:val="en-US" w:eastAsia="zh-CN"/>
        </w:rPr>
        <w:t xml:space="preserve"> </w:t>
      </w:r>
      <w:r>
        <w:rPr>
          <w:rFonts w:hint="eastAsia" w:ascii="仿宋" w:hAnsi="仿宋" w:eastAsia="仿宋" w:cs="仿宋"/>
          <w:spacing w:val="18"/>
          <w:sz w:val="32"/>
          <w:szCs w:val="32"/>
        </w:rPr>
        <w:t>衔接资金以项目资金形式分配下达。区财政局</w:t>
      </w:r>
      <w:r>
        <w:rPr>
          <w:rFonts w:hint="eastAsia" w:ascii="仿宋" w:hAnsi="仿宋" w:eastAsia="仿宋" w:cs="仿宋"/>
          <w:spacing w:val="17"/>
          <w:sz w:val="32"/>
          <w:szCs w:val="32"/>
        </w:rPr>
        <w:t>按照</w:t>
      </w:r>
      <w:r>
        <w:rPr>
          <w:rFonts w:hint="eastAsia" w:ascii="仿宋" w:hAnsi="仿宋" w:eastAsia="仿宋" w:cs="仿宋"/>
          <w:sz w:val="32"/>
          <w:szCs w:val="32"/>
        </w:rPr>
        <w:t xml:space="preserve"> </w:t>
      </w:r>
      <w:r>
        <w:rPr>
          <w:rFonts w:hint="eastAsia" w:ascii="仿宋" w:hAnsi="仿宋" w:eastAsia="仿宋" w:cs="仿宋"/>
          <w:spacing w:val="3"/>
          <w:sz w:val="32"/>
          <w:szCs w:val="32"/>
        </w:rPr>
        <w:t>各部门确定的具体建设项目和内容，分配资金下达至至</w:t>
      </w:r>
      <w:r>
        <w:rPr>
          <w:rFonts w:hint="eastAsia" w:ascii="仿宋" w:hAnsi="仿宋" w:eastAsia="仿宋" w:cs="仿宋"/>
          <w:spacing w:val="2"/>
          <w:sz w:val="32"/>
          <w:szCs w:val="32"/>
        </w:rPr>
        <w:t>各部门，</w:t>
      </w:r>
      <w:r>
        <w:rPr>
          <w:rFonts w:hint="eastAsia" w:ascii="仿宋" w:hAnsi="仿宋" w:eastAsia="仿宋" w:cs="仿宋"/>
          <w:spacing w:val="-1"/>
          <w:sz w:val="32"/>
          <w:szCs w:val="32"/>
        </w:rPr>
        <w:t>部门组织项目实施。</w:t>
      </w:r>
    </w:p>
    <w:p>
      <w:pPr>
        <w:spacing w:before="237" w:line="219" w:lineRule="auto"/>
        <w:ind w:left="720"/>
        <w:rPr>
          <w:rFonts w:hint="eastAsia" w:ascii="仿宋" w:hAnsi="仿宋" w:eastAsia="仿宋" w:cs="仿宋"/>
          <w:sz w:val="32"/>
          <w:szCs w:val="32"/>
        </w:rPr>
      </w:pPr>
      <w:r>
        <w:rPr>
          <w:rFonts w:hint="eastAsia" w:ascii="仿宋" w:hAnsi="仿宋" w:eastAsia="仿宋" w:cs="仿宋"/>
          <w:spacing w:val="10"/>
          <w:sz w:val="32"/>
          <w:szCs w:val="32"/>
        </w:rPr>
        <w:t>第八条</w:t>
      </w:r>
      <w:r>
        <w:rPr>
          <w:rFonts w:hint="eastAsia" w:ascii="仿宋" w:hAnsi="仿宋" w:eastAsia="仿宋" w:cs="仿宋"/>
          <w:spacing w:val="10"/>
          <w:sz w:val="32"/>
          <w:szCs w:val="32"/>
          <w:lang w:val="en-US" w:eastAsia="zh-CN"/>
        </w:rPr>
        <w:t xml:space="preserve"> </w:t>
      </w:r>
      <w:r>
        <w:rPr>
          <w:rFonts w:hint="eastAsia" w:ascii="仿宋" w:hAnsi="仿宋" w:eastAsia="仿宋" w:cs="仿宋"/>
          <w:spacing w:val="10"/>
          <w:sz w:val="32"/>
          <w:szCs w:val="32"/>
        </w:rPr>
        <w:t>衔接资金应当统筹安排使用，形成合力。</w:t>
      </w:r>
    </w:p>
    <w:p>
      <w:pPr>
        <w:spacing w:before="233" w:line="348" w:lineRule="auto"/>
        <w:ind w:left="9" w:right="447" w:firstLine="710"/>
        <w:rPr>
          <w:rFonts w:hint="eastAsia" w:ascii="仿宋" w:hAnsi="仿宋" w:eastAsia="仿宋" w:cs="仿宋"/>
          <w:sz w:val="32"/>
          <w:szCs w:val="32"/>
        </w:rPr>
      </w:pPr>
      <w:r>
        <w:rPr>
          <w:rFonts w:hint="eastAsia" w:ascii="仿宋" w:hAnsi="仿宋" w:eastAsia="仿宋" w:cs="仿宋"/>
          <w:spacing w:val="9"/>
          <w:sz w:val="32"/>
          <w:szCs w:val="32"/>
        </w:rPr>
        <w:t>第九条</w:t>
      </w:r>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rPr>
        <w:t>建立完善巩固拓展脱贫攻坚成果和乡村振兴项目库，</w:t>
      </w:r>
      <w:r>
        <w:rPr>
          <w:rFonts w:hint="eastAsia" w:ascii="仿宋" w:hAnsi="仿宋" w:eastAsia="仿宋" w:cs="仿宋"/>
          <w:spacing w:val="14"/>
          <w:sz w:val="32"/>
          <w:szCs w:val="32"/>
        </w:rPr>
        <w:t xml:space="preserve"> </w:t>
      </w:r>
      <w:r>
        <w:rPr>
          <w:rFonts w:hint="eastAsia" w:ascii="仿宋" w:hAnsi="仿宋" w:eastAsia="仿宋" w:cs="仿宋"/>
          <w:spacing w:val="7"/>
          <w:sz w:val="32"/>
          <w:szCs w:val="32"/>
        </w:rPr>
        <w:t>提前做好项目储备，严格项目论证入库，各级衔接资金支持的项</w:t>
      </w:r>
      <w:r>
        <w:rPr>
          <w:rFonts w:hint="eastAsia" w:ascii="仿宋" w:hAnsi="仿宋" w:eastAsia="仿宋" w:cs="仿宋"/>
          <w:spacing w:val="3"/>
          <w:sz w:val="32"/>
          <w:szCs w:val="32"/>
        </w:rPr>
        <w:t>目原则上应从项目库选择，且符合本办法要求。</w:t>
      </w:r>
    </w:p>
    <w:p>
      <w:pPr>
        <w:spacing w:before="241" w:line="347" w:lineRule="auto"/>
        <w:ind w:right="357" w:firstLine="720"/>
        <w:rPr>
          <w:rFonts w:hint="eastAsia" w:ascii="仿宋" w:hAnsi="仿宋" w:eastAsia="仿宋" w:cs="仿宋"/>
          <w:sz w:val="32"/>
          <w:szCs w:val="32"/>
        </w:rPr>
      </w:pPr>
      <w:r>
        <w:rPr>
          <w:rFonts w:hint="eastAsia" w:ascii="仿宋" w:hAnsi="仿宋" w:eastAsia="仿宋" w:cs="仿宋"/>
          <w:spacing w:val="21"/>
          <w:sz w:val="32"/>
          <w:szCs w:val="32"/>
        </w:rPr>
        <w:t>第十条</w:t>
      </w:r>
      <w:r>
        <w:rPr>
          <w:rFonts w:hint="eastAsia" w:ascii="仿宋" w:hAnsi="仿宋" w:eastAsia="仿宋" w:cs="仿宋"/>
          <w:spacing w:val="21"/>
          <w:sz w:val="32"/>
          <w:szCs w:val="32"/>
          <w:lang w:val="en-US" w:eastAsia="zh-CN"/>
        </w:rPr>
        <w:t xml:space="preserve"> </w:t>
      </w:r>
      <w:r>
        <w:rPr>
          <w:rFonts w:hint="eastAsia" w:ascii="仿宋" w:hAnsi="仿宋" w:eastAsia="仿宋" w:cs="仿宋"/>
          <w:spacing w:val="21"/>
          <w:sz w:val="32"/>
          <w:szCs w:val="32"/>
        </w:rPr>
        <w:t>按中央和省有关规定，加快预算执行，提高资金使</w:t>
      </w:r>
      <w:r>
        <w:rPr>
          <w:rFonts w:hint="eastAsia" w:ascii="仿宋" w:hAnsi="仿宋" w:eastAsia="仿宋" w:cs="仿宋"/>
          <w:sz w:val="32"/>
          <w:szCs w:val="32"/>
        </w:rPr>
        <w:t xml:space="preserve">  </w:t>
      </w:r>
      <w:r>
        <w:rPr>
          <w:rFonts w:hint="eastAsia" w:ascii="仿宋" w:hAnsi="仿宋" w:eastAsia="仿宋" w:cs="仿宋"/>
          <w:spacing w:val="1"/>
          <w:sz w:val="32"/>
          <w:szCs w:val="32"/>
        </w:rPr>
        <w:t>用效益。衔接资金的支付管理，按照财政国库管理有关规定执行。</w:t>
      </w:r>
      <w:r>
        <w:rPr>
          <w:rFonts w:hint="eastAsia" w:ascii="仿宋" w:hAnsi="仿宋" w:eastAsia="仿宋" w:cs="仿宋"/>
          <w:spacing w:val="9"/>
          <w:sz w:val="32"/>
          <w:szCs w:val="32"/>
        </w:rPr>
        <w:t xml:space="preserve"> 结转结余的衔接资金，按照中央和省关于结转结余资金管理的相</w:t>
      </w:r>
      <w:r>
        <w:rPr>
          <w:rFonts w:hint="eastAsia" w:ascii="仿宋" w:hAnsi="仿宋" w:eastAsia="仿宋" w:cs="仿宋"/>
          <w:spacing w:val="-2"/>
          <w:sz w:val="32"/>
          <w:szCs w:val="32"/>
        </w:rPr>
        <w:t>关规定管理。</w:t>
      </w:r>
    </w:p>
    <w:p>
      <w:pPr>
        <w:spacing w:before="235" w:line="348" w:lineRule="auto"/>
        <w:ind w:left="19" w:right="429" w:firstLine="700"/>
        <w:rPr>
          <w:rFonts w:hint="eastAsia" w:ascii="仿宋" w:hAnsi="仿宋" w:eastAsia="仿宋" w:cs="仿宋"/>
          <w:sz w:val="32"/>
          <w:szCs w:val="32"/>
        </w:rPr>
      </w:pPr>
      <w:r>
        <w:rPr>
          <w:rFonts w:hint="eastAsia" w:ascii="仿宋" w:hAnsi="仿宋" w:eastAsia="仿宋" w:cs="仿宋"/>
          <w:spacing w:val="24"/>
          <w:sz w:val="32"/>
          <w:szCs w:val="32"/>
        </w:rPr>
        <w:t>第十一条</w:t>
      </w:r>
      <w:r>
        <w:rPr>
          <w:rFonts w:hint="eastAsia" w:ascii="仿宋" w:hAnsi="仿宋" w:eastAsia="仿宋" w:cs="仿宋"/>
          <w:spacing w:val="24"/>
          <w:sz w:val="32"/>
          <w:szCs w:val="32"/>
          <w:lang w:val="en-US" w:eastAsia="zh-CN"/>
        </w:rPr>
        <w:t xml:space="preserve"> </w:t>
      </w:r>
      <w:r>
        <w:rPr>
          <w:rFonts w:hint="eastAsia" w:ascii="仿宋" w:hAnsi="仿宋" w:eastAsia="仿宋" w:cs="仿宋"/>
          <w:spacing w:val="24"/>
          <w:sz w:val="32"/>
          <w:szCs w:val="32"/>
        </w:rPr>
        <w:t>属于政府采购管理范围的项目，执行政府采购相</w:t>
      </w:r>
      <w:r>
        <w:rPr>
          <w:rFonts w:hint="eastAsia" w:ascii="仿宋" w:hAnsi="仿宋" w:eastAsia="仿宋" w:cs="仿宋"/>
          <w:spacing w:val="6"/>
          <w:sz w:val="32"/>
          <w:szCs w:val="32"/>
        </w:rPr>
        <w:t xml:space="preserve"> </w:t>
      </w:r>
      <w:r>
        <w:rPr>
          <w:rFonts w:hint="eastAsia" w:ascii="仿宋" w:hAnsi="仿宋" w:eastAsia="仿宋" w:cs="仿宋"/>
          <w:spacing w:val="10"/>
          <w:sz w:val="32"/>
          <w:szCs w:val="32"/>
        </w:rPr>
        <w:t>关规定，村级微小型项目可按照村民民主议事方式直接委托村级</w:t>
      </w:r>
      <w:r>
        <w:rPr>
          <w:rFonts w:hint="eastAsia" w:ascii="仿宋" w:hAnsi="仿宋" w:eastAsia="仿宋" w:cs="仿宋"/>
          <w:spacing w:val="-3"/>
          <w:sz w:val="32"/>
          <w:szCs w:val="32"/>
        </w:rPr>
        <w:t>组织自建自营。</w:t>
      </w:r>
    </w:p>
    <w:p>
      <w:pPr>
        <w:spacing w:line="243" w:lineRule="auto"/>
        <w:rPr>
          <w:rFonts w:hint="eastAsia" w:ascii="仿宋" w:hAnsi="仿宋" w:eastAsia="仿宋" w:cs="仿宋"/>
          <w:sz w:val="32"/>
          <w:szCs w:val="32"/>
        </w:rPr>
      </w:pPr>
    </w:p>
    <w:p>
      <w:pPr>
        <w:spacing w:before="112" w:line="221" w:lineRule="auto"/>
        <w:ind w:firstLine="2108" w:firstLineChars="600"/>
        <w:jc w:val="both"/>
        <w:rPr>
          <w:rFonts w:hint="eastAsia" w:ascii="黑体" w:hAnsi="黑体" w:eastAsia="黑体" w:cs="黑体"/>
          <w:sz w:val="32"/>
          <w:szCs w:val="32"/>
        </w:rPr>
      </w:pPr>
      <w:r>
        <w:rPr>
          <w:rFonts w:hint="eastAsia" w:ascii="黑体" w:hAnsi="黑体" w:eastAsia="黑体" w:cs="黑体"/>
          <w:b/>
          <w:bCs/>
          <w:spacing w:val="15"/>
          <w:sz w:val="32"/>
          <w:szCs w:val="32"/>
        </w:rPr>
        <w:t>第四章</w:t>
      </w:r>
      <w:r>
        <w:rPr>
          <w:rFonts w:hint="eastAsia" w:ascii="黑体" w:hAnsi="黑体" w:eastAsia="黑体" w:cs="黑体"/>
          <w:b/>
          <w:bCs/>
          <w:spacing w:val="15"/>
          <w:sz w:val="32"/>
          <w:szCs w:val="32"/>
          <w:lang w:val="en-US" w:eastAsia="zh-CN"/>
        </w:rPr>
        <w:t xml:space="preserve"> </w:t>
      </w:r>
      <w:r>
        <w:rPr>
          <w:rFonts w:hint="eastAsia" w:ascii="黑体" w:hAnsi="黑体" w:eastAsia="黑体" w:cs="黑体"/>
          <w:b/>
          <w:bCs/>
          <w:spacing w:val="15"/>
          <w:sz w:val="32"/>
          <w:szCs w:val="32"/>
        </w:rPr>
        <w:t>资金管理与监督评价</w:t>
      </w:r>
    </w:p>
    <w:p>
      <w:pPr>
        <w:spacing w:line="316" w:lineRule="auto"/>
        <w:rPr>
          <w:rFonts w:hint="eastAsia" w:ascii="仿宋" w:hAnsi="仿宋" w:eastAsia="仿宋" w:cs="仿宋"/>
          <w:sz w:val="32"/>
          <w:szCs w:val="32"/>
        </w:rPr>
      </w:pPr>
    </w:p>
    <w:p>
      <w:pPr>
        <w:spacing w:before="65" w:line="337" w:lineRule="auto"/>
        <w:ind w:right="713" w:firstLine="700" w:firstLineChars="200"/>
        <w:jc w:val="both"/>
        <w:rPr>
          <w:rFonts w:hint="eastAsia" w:ascii="仿宋" w:hAnsi="仿宋" w:eastAsia="仿宋" w:cs="仿宋"/>
          <w:sz w:val="32"/>
          <w:szCs w:val="32"/>
        </w:rPr>
      </w:pPr>
      <w:r>
        <w:rPr>
          <w:rFonts w:hint="eastAsia" w:ascii="仿宋" w:hAnsi="仿宋" w:eastAsia="仿宋" w:cs="仿宋"/>
          <w:spacing w:val="15"/>
          <w:sz w:val="32"/>
          <w:szCs w:val="32"/>
        </w:rPr>
        <w:t>第十二条</w:t>
      </w:r>
      <w:r>
        <w:rPr>
          <w:rFonts w:hint="eastAsia" w:ascii="仿宋" w:hAnsi="仿宋" w:eastAsia="仿宋" w:cs="仿宋"/>
          <w:spacing w:val="15"/>
          <w:sz w:val="32"/>
          <w:szCs w:val="32"/>
          <w:lang w:val="en-US" w:eastAsia="zh-CN"/>
        </w:rPr>
        <w:t xml:space="preserve"> </w:t>
      </w:r>
      <w:r>
        <w:rPr>
          <w:rFonts w:hint="eastAsia" w:ascii="仿宋" w:hAnsi="仿宋" w:eastAsia="仿宋" w:cs="仿宋"/>
          <w:spacing w:val="15"/>
          <w:sz w:val="32"/>
          <w:szCs w:val="32"/>
        </w:rPr>
        <w:t>财政部门负责预算安排、审核资金分配建议方案</w:t>
      </w:r>
      <w:r>
        <w:rPr>
          <w:rFonts w:hint="eastAsia" w:ascii="仿宋" w:hAnsi="仿宋" w:eastAsia="仿宋" w:cs="仿宋"/>
          <w:spacing w:val="11"/>
          <w:sz w:val="32"/>
          <w:szCs w:val="32"/>
        </w:rPr>
        <w:t xml:space="preserve"> </w:t>
      </w:r>
      <w:r>
        <w:rPr>
          <w:rFonts w:hint="eastAsia" w:ascii="仿宋" w:hAnsi="仿宋" w:eastAsia="仿宋" w:cs="仿宋"/>
          <w:spacing w:val="8"/>
          <w:sz w:val="32"/>
          <w:szCs w:val="32"/>
        </w:rPr>
        <w:t>和下达资金，指导农业农村等行业主管部门(以下简称行业主管</w:t>
      </w:r>
      <w:r>
        <w:rPr>
          <w:rFonts w:hint="eastAsia" w:ascii="仿宋" w:hAnsi="仿宋" w:eastAsia="仿宋" w:cs="仿宋"/>
          <w:spacing w:val="13"/>
          <w:sz w:val="32"/>
          <w:szCs w:val="32"/>
        </w:rPr>
        <w:t xml:space="preserve"> </w:t>
      </w:r>
      <w:r>
        <w:rPr>
          <w:rFonts w:hint="eastAsia" w:ascii="仿宋" w:hAnsi="仿宋" w:eastAsia="仿宋" w:cs="仿宋"/>
          <w:spacing w:val="9"/>
          <w:sz w:val="32"/>
          <w:szCs w:val="32"/>
        </w:rPr>
        <w:t>部门)及地方加强资金监管和绩效管理。行业主管部门负责提出</w:t>
      </w:r>
      <w:r>
        <w:rPr>
          <w:rFonts w:hint="eastAsia" w:ascii="仿宋" w:hAnsi="仿宋" w:eastAsia="仿宋" w:cs="仿宋"/>
          <w:spacing w:val="3"/>
          <w:sz w:val="32"/>
          <w:szCs w:val="32"/>
        </w:rPr>
        <w:t>资金分配建议方案、资金和项目使用管理、绩效管理、监督管理</w:t>
      </w:r>
      <w:r>
        <w:rPr>
          <w:rFonts w:hint="eastAsia" w:ascii="仿宋" w:hAnsi="仿宋" w:eastAsia="仿宋" w:cs="仿宋"/>
          <w:spacing w:val="10"/>
          <w:sz w:val="32"/>
          <w:szCs w:val="32"/>
        </w:rPr>
        <w:t>等工作，按照权责对等原则落实监管责任。</w:t>
      </w:r>
    </w:p>
    <w:p>
      <w:pPr>
        <w:spacing w:before="235" w:line="342" w:lineRule="auto"/>
        <w:ind w:right="643" w:firstLine="729"/>
        <w:jc w:val="both"/>
        <w:rPr>
          <w:rFonts w:hint="eastAsia" w:ascii="仿宋" w:hAnsi="仿宋" w:eastAsia="仿宋" w:cs="仿宋"/>
          <w:spacing w:val="4"/>
          <w:sz w:val="32"/>
          <w:szCs w:val="32"/>
        </w:rPr>
      </w:pPr>
      <w:r>
        <w:rPr>
          <w:rFonts w:hint="eastAsia" w:ascii="仿宋" w:hAnsi="仿宋" w:eastAsia="仿宋" w:cs="仿宋"/>
          <w:spacing w:val="44"/>
          <w:sz w:val="32"/>
          <w:szCs w:val="32"/>
        </w:rPr>
        <w:t>第十三条</w:t>
      </w:r>
      <w:r>
        <w:rPr>
          <w:rFonts w:hint="eastAsia" w:ascii="仿宋" w:hAnsi="仿宋" w:eastAsia="仿宋" w:cs="仿宋"/>
          <w:spacing w:val="44"/>
          <w:sz w:val="32"/>
          <w:szCs w:val="32"/>
          <w:lang w:val="en-US" w:eastAsia="zh-CN"/>
        </w:rPr>
        <w:t xml:space="preserve"> </w:t>
      </w:r>
      <w:r>
        <w:rPr>
          <w:rFonts w:hint="eastAsia" w:ascii="仿宋" w:hAnsi="仿宋" w:eastAsia="仿宋" w:cs="仿宋"/>
          <w:spacing w:val="44"/>
          <w:sz w:val="32"/>
          <w:szCs w:val="32"/>
        </w:rPr>
        <w:t>各地、各部门(单位)应落实部门(单位)预算</w:t>
      </w:r>
      <w:r>
        <w:rPr>
          <w:rFonts w:hint="eastAsia" w:ascii="仿宋" w:hAnsi="仿宋" w:eastAsia="仿宋" w:cs="仿宋"/>
          <w:spacing w:val="15"/>
          <w:sz w:val="32"/>
          <w:szCs w:val="32"/>
        </w:rPr>
        <w:t xml:space="preserve"> </w:t>
      </w:r>
      <w:r>
        <w:rPr>
          <w:rFonts w:hint="eastAsia" w:ascii="仿宋" w:hAnsi="仿宋" w:eastAsia="仿宋" w:cs="仿宋"/>
          <w:spacing w:val="5"/>
          <w:sz w:val="32"/>
          <w:szCs w:val="32"/>
        </w:rPr>
        <w:t>执行主体责任，按照“谁使用资金谁负责、谁的项目谁推进”的</w:t>
      </w:r>
      <w:r>
        <w:rPr>
          <w:rFonts w:hint="eastAsia" w:ascii="仿宋" w:hAnsi="仿宋" w:eastAsia="仿宋" w:cs="仿宋"/>
          <w:spacing w:val="15"/>
          <w:sz w:val="32"/>
          <w:szCs w:val="32"/>
        </w:rPr>
        <w:t xml:space="preserve"> </w:t>
      </w:r>
      <w:r>
        <w:rPr>
          <w:rFonts w:hint="eastAsia" w:ascii="仿宋" w:hAnsi="仿宋" w:eastAsia="仿宋" w:cs="仿宋"/>
          <w:spacing w:val="4"/>
          <w:sz w:val="32"/>
          <w:szCs w:val="32"/>
        </w:rPr>
        <w:t>原则，在确保财政资金安全管理的前提下，加大项目组织推进力</w:t>
      </w:r>
      <w:r>
        <w:rPr>
          <w:rFonts w:hint="eastAsia" w:ascii="仿宋" w:hAnsi="仿宋" w:eastAsia="仿宋" w:cs="仿宋"/>
          <w:spacing w:val="16"/>
          <w:sz w:val="32"/>
          <w:szCs w:val="32"/>
        </w:rPr>
        <w:t xml:space="preserve"> </w:t>
      </w:r>
      <w:r>
        <w:rPr>
          <w:rFonts w:hint="eastAsia" w:ascii="仿宋" w:hAnsi="仿宋" w:eastAsia="仿宋" w:cs="仿宋"/>
          <w:spacing w:val="5"/>
          <w:sz w:val="32"/>
          <w:szCs w:val="32"/>
        </w:rPr>
        <w:t>度，为资金及时拨付创造条件。区级行业主管部门是加快衔接资</w:t>
      </w:r>
      <w:r>
        <w:rPr>
          <w:rFonts w:hint="eastAsia" w:ascii="仿宋" w:hAnsi="仿宋" w:eastAsia="仿宋" w:cs="仿宋"/>
          <w:spacing w:val="13"/>
          <w:sz w:val="32"/>
          <w:szCs w:val="32"/>
        </w:rPr>
        <w:t xml:space="preserve"> </w:t>
      </w:r>
      <w:r>
        <w:rPr>
          <w:rFonts w:hint="eastAsia" w:ascii="仿宋" w:hAnsi="仿宋" w:eastAsia="仿宋" w:cs="仿宋"/>
          <w:spacing w:val="6"/>
          <w:sz w:val="32"/>
          <w:szCs w:val="32"/>
        </w:rPr>
        <w:t>金执行进度的第一责任主体，应及时掌握并定期向同级财政部门</w:t>
      </w:r>
      <w:r>
        <w:rPr>
          <w:rFonts w:hint="eastAsia" w:ascii="仿宋" w:hAnsi="仿宋" w:eastAsia="仿宋" w:cs="仿宋"/>
          <w:spacing w:val="8"/>
          <w:sz w:val="32"/>
          <w:szCs w:val="32"/>
        </w:rPr>
        <w:t>通报情况，督促项目实施单位按合同约定完成项目施工。区级</w:t>
      </w:r>
      <w:r>
        <w:rPr>
          <w:rFonts w:hint="eastAsia" w:ascii="仿宋" w:hAnsi="仿宋" w:eastAsia="仿宋" w:cs="仿宋"/>
          <w:spacing w:val="7"/>
          <w:sz w:val="32"/>
          <w:szCs w:val="32"/>
        </w:rPr>
        <w:t>财</w:t>
      </w:r>
      <w:r>
        <w:rPr>
          <w:rFonts w:hint="eastAsia" w:ascii="仿宋" w:hAnsi="仿宋" w:eastAsia="仿宋" w:cs="仿宋"/>
          <w:spacing w:val="6"/>
          <w:sz w:val="32"/>
          <w:szCs w:val="32"/>
        </w:rPr>
        <w:t>政部门应及时监控支出进度，督促区级行业主管部门落实支出责</w:t>
      </w:r>
      <w:r>
        <w:rPr>
          <w:rFonts w:hint="eastAsia" w:ascii="仿宋" w:hAnsi="仿宋" w:eastAsia="仿宋" w:cs="仿宋"/>
          <w:spacing w:val="-45"/>
          <w:sz w:val="32"/>
          <w:szCs w:val="32"/>
        </w:rPr>
        <w:t>任。</w:t>
      </w:r>
      <w:r>
        <w:rPr>
          <w:rFonts w:hint="eastAsia" w:ascii="仿宋" w:hAnsi="仿宋" w:eastAsia="仿宋" w:cs="仿宋"/>
          <w:spacing w:val="4"/>
          <w:sz w:val="32"/>
          <w:szCs w:val="32"/>
        </w:rPr>
        <w:t xml:space="preserve">                       </w:t>
      </w:r>
    </w:p>
    <w:p>
      <w:pPr>
        <w:spacing w:before="235" w:line="342" w:lineRule="auto"/>
        <w:ind w:right="643" w:firstLine="756" w:firstLineChars="200"/>
        <w:jc w:val="both"/>
        <w:rPr>
          <w:rFonts w:hint="eastAsia" w:ascii="仿宋" w:hAnsi="仿宋" w:eastAsia="仿宋" w:cs="仿宋"/>
          <w:spacing w:val="29"/>
          <w:position w:val="25"/>
          <w:sz w:val="32"/>
          <w:szCs w:val="32"/>
        </w:rPr>
      </w:pPr>
      <w:r>
        <w:rPr>
          <w:rFonts w:hint="eastAsia" w:ascii="仿宋" w:hAnsi="仿宋" w:eastAsia="仿宋" w:cs="仿宋"/>
          <w:spacing w:val="29"/>
          <w:position w:val="25"/>
          <w:sz w:val="32"/>
          <w:szCs w:val="32"/>
        </w:rPr>
        <w:t>第十四条</w:t>
      </w:r>
      <w:r>
        <w:rPr>
          <w:rFonts w:hint="eastAsia" w:ascii="仿宋" w:hAnsi="仿宋" w:eastAsia="仿宋" w:cs="仿宋"/>
          <w:spacing w:val="29"/>
          <w:position w:val="25"/>
          <w:sz w:val="32"/>
          <w:szCs w:val="32"/>
          <w:lang w:val="en-US" w:eastAsia="zh-CN"/>
        </w:rPr>
        <w:t xml:space="preserve"> </w:t>
      </w:r>
      <w:r>
        <w:rPr>
          <w:rFonts w:hint="eastAsia" w:ascii="仿宋" w:hAnsi="仿宋" w:eastAsia="仿宋" w:cs="仿宋"/>
          <w:spacing w:val="29"/>
          <w:position w:val="25"/>
          <w:sz w:val="32"/>
          <w:szCs w:val="32"/>
        </w:rPr>
        <w:t>全面推行公开公示制度，资金政策文件、管理制度、资金分配结果等信息及时向社会公开，接受社会监督。</w:t>
      </w:r>
    </w:p>
    <w:p>
      <w:pPr>
        <w:spacing w:before="197" w:line="348" w:lineRule="auto"/>
        <w:ind w:right="559" w:firstLine="729"/>
        <w:rPr>
          <w:rFonts w:hint="eastAsia" w:ascii="仿宋" w:hAnsi="仿宋" w:eastAsia="仿宋" w:cs="仿宋"/>
          <w:sz w:val="32"/>
          <w:szCs w:val="32"/>
        </w:rPr>
      </w:pPr>
      <w:r>
        <w:rPr>
          <w:rFonts w:hint="eastAsia" w:ascii="仿宋" w:hAnsi="仿宋" w:eastAsia="仿宋" w:cs="仿宋"/>
          <w:spacing w:val="20"/>
          <w:sz w:val="32"/>
          <w:szCs w:val="32"/>
        </w:rPr>
        <w:t>第十五条</w:t>
      </w:r>
      <w:r>
        <w:rPr>
          <w:rFonts w:hint="eastAsia" w:ascii="仿宋" w:hAnsi="仿宋" w:eastAsia="仿宋" w:cs="仿宋"/>
          <w:spacing w:val="20"/>
          <w:sz w:val="32"/>
          <w:szCs w:val="32"/>
          <w:lang w:val="en-US" w:eastAsia="zh-CN"/>
        </w:rPr>
        <w:t xml:space="preserve"> </w:t>
      </w:r>
      <w:r>
        <w:rPr>
          <w:rFonts w:hint="eastAsia" w:ascii="仿宋" w:hAnsi="仿宋" w:eastAsia="仿宋" w:cs="仿宋"/>
          <w:spacing w:val="20"/>
          <w:sz w:val="32"/>
          <w:szCs w:val="32"/>
        </w:rPr>
        <w:t>加强衔接资金和项目管理，按照全面实施预算绩</w:t>
      </w:r>
      <w:r>
        <w:rPr>
          <w:rFonts w:hint="eastAsia" w:ascii="仿宋" w:hAnsi="仿宋" w:eastAsia="仿宋" w:cs="仿宋"/>
          <w:spacing w:val="10"/>
          <w:sz w:val="32"/>
          <w:szCs w:val="32"/>
        </w:rPr>
        <w:t xml:space="preserve"> </w:t>
      </w:r>
      <w:r>
        <w:rPr>
          <w:rFonts w:hint="eastAsia" w:ascii="仿宋" w:hAnsi="仿宋" w:eastAsia="仿宋" w:cs="仿宋"/>
          <w:spacing w:val="8"/>
          <w:sz w:val="32"/>
          <w:szCs w:val="32"/>
        </w:rPr>
        <w:t>效管理的要求，压实绩效主体责任，建立健全全过程预算绩效管</w:t>
      </w:r>
      <w:r>
        <w:rPr>
          <w:rFonts w:hint="eastAsia" w:ascii="仿宋" w:hAnsi="仿宋" w:eastAsia="仿宋" w:cs="仿宋"/>
          <w:spacing w:val="3"/>
          <w:sz w:val="32"/>
          <w:szCs w:val="32"/>
        </w:rPr>
        <w:t xml:space="preserve"> </w:t>
      </w:r>
      <w:r>
        <w:rPr>
          <w:rFonts w:hint="eastAsia" w:ascii="仿宋" w:hAnsi="仿宋" w:eastAsia="仿宋" w:cs="仿宋"/>
          <w:spacing w:val="9"/>
          <w:sz w:val="32"/>
          <w:szCs w:val="32"/>
        </w:rPr>
        <w:t>理机制，按规定科学合理设定项目绩效目标，强化绩效监控、绩</w:t>
      </w:r>
      <w:r>
        <w:rPr>
          <w:rFonts w:hint="eastAsia" w:ascii="仿宋" w:hAnsi="仿宋" w:eastAsia="仿宋" w:cs="仿宋"/>
          <w:sz w:val="32"/>
          <w:szCs w:val="32"/>
        </w:rPr>
        <w:t xml:space="preserve"> </w:t>
      </w:r>
      <w:r>
        <w:rPr>
          <w:rFonts w:hint="eastAsia" w:ascii="仿宋" w:hAnsi="仿宋" w:eastAsia="仿宋" w:cs="仿宋"/>
          <w:spacing w:val="9"/>
          <w:sz w:val="32"/>
          <w:szCs w:val="32"/>
        </w:rPr>
        <w:t>效评价，加强评价结果应用，做好绩效信息公开，提高资金配</w:t>
      </w:r>
      <w:r>
        <w:rPr>
          <w:rFonts w:hint="eastAsia" w:ascii="仿宋" w:hAnsi="仿宋" w:eastAsia="仿宋" w:cs="仿宋"/>
          <w:spacing w:val="8"/>
          <w:sz w:val="32"/>
          <w:szCs w:val="32"/>
        </w:rPr>
        <w:t>置</w:t>
      </w:r>
      <w:r>
        <w:rPr>
          <w:rFonts w:hint="eastAsia" w:ascii="仿宋" w:hAnsi="仿宋" w:eastAsia="仿宋" w:cs="仿宋"/>
          <w:spacing w:val="1"/>
          <w:sz w:val="32"/>
          <w:szCs w:val="32"/>
        </w:rPr>
        <w:t>效率和使用效益。</w:t>
      </w:r>
    </w:p>
    <w:p>
      <w:pPr>
        <w:numPr>
          <w:ilvl w:val="0"/>
          <w:numId w:val="1"/>
        </w:numPr>
        <w:spacing w:before="235" w:line="921" w:lineRule="exact"/>
        <w:ind w:firstLine="696" w:firstLineChars="200"/>
        <w:rPr>
          <w:rFonts w:hint="eastAsia" w:ascii="仿宋" w:hAnsi="仿宋" w:eastAsia="仿宋" w:cs="仿宋"/>
          <w:spacing w:val="13"/>
          <w:position w:val="44"/>
          <w:sz w:val="32"/>
          <w:szCs w:val="32"/>
        </w:rPr>
      </w:pPr>
      <w:r>
        <w:rPr>
          <w:rFonts w:hint="eastAsia" w:ascii="仿宋" w:hAnsi="仿宋" w:eastAsia="仿宋" w:cs="仿宋"/>
          <w:spacing w:val="14"/>
          <w:position w:val="44"/>
          <w:sz w:val="32"/>
          <w:szCs w:val="32"/>
        </w:rPr>
        <w:t>财政和行业主管部门按要求配合审计、</w:t>
      </w:r>
      <w:r>
        <w:rPr>
          <w:rFonts w:hint="eastAsia" w:ascii="仿宋" w:hAnsi="仿宋" w:eastAsia="仿宋" w:cs="仿宋"/>
          <w:spacing w:val="13"/>
          <w:position w:val="44"/>
          <w:sz w:val="32"/>
          <w:szCs w:val="32"/>
        </w:rPr>
        <w:t>纪检监察、检察机关做好衔接资金和项目的审计、检查等工作</w:t>
      </w:r>
      <w:r>
        <w:rPr>
          <w:rFonts w:hint="eastAsia" w:ascii="仿宋" w:hAnsi="仿宋" w:eastAsia="仿宋" w:cs="仿宋"/>
          <w:spacing w:val="13"/>
          <w:position w:val="44"/>
          <w:sz w:val="32"/>
          <w:szCs w:val="32"/>
          <w:lang w:eastAsia="zh-CN"/>
        </w:rPr>
        <w:t>。</w:t>
      </w:r>
    </w:p>
    <w:p>
      <w:pPr>
        <w:numPr>
          <w:ilvl w:val="0"/>
          <w:numId w:val="0"/>
        </w:numPr>
        <w:spacing w:before="235" w:line="921" w:lineRule="exact"/>
        <w:ind w:firstLine="692" w:firstLineChars="200"/>
        <w:rPr>
          <w:rFonts w:hint="eastAsia" w:ascii="仿宋" w:hAnsi="仿宋" w:eastAsia="仿宋" w:cs="仿宋"/>
          <w:spacing w:val="13"/>
          <w:position w:val="44"/>
          <w:sz w:val="32"/>
          <w:szCs w:val="32"/>
        </w:rPr>
      </w:pPr>
      <w:r>
        <w:rPr>
          <w:rFonts w:hint="eastAsia" w:ascii="仿宋" w:hAnsi="仿宋" w:eastAsia="仿宋" w:cs="仿宋"/>
          <w:spacing w:val="13"/>
          <w:position w:val="44"/>
          <w:sz w:val="32"/>
          <w:szCs w:val="32"/>
        </w:rPr>
        <w:t>财政和行业主管部门及其工作人员在衔接资金分配、使用管 理等工作中，存在违反本办法规定，以及滥用职权、玩忽职守、 徇私舞弊等违法违纪行为的，按照国家有关规定追究相应责任</w:t>
      </w:r>
      <w:r>
        <w:rPr>
          <w:rFonts w:hint="eastAsia" w:ascii="仿宋" w:hAnsi="仿宋" w:eastAsia="仿宋" w:cs="仿宋"/>
          <w:spacing w:val="13"/>
          <w:position w:val="44"/>
          <w:sz w:val="32"/>
          <w:szCs w:val="32"/>
          <w:lang w:eastAsia="zh-CN"/>
        </w:rPr>
        <w:t>；</w:t>
      </w:r>
      <w:r>
        <w:rPr>
          <w:rFonts w:hint="eastAsia" w:ascii="仿宋" w:hAnsi="仿宋" w:eastAsia="仿宋" w:cs="仿宋"/>
          <w:spacing w:val="13"/>
          <w:position w:val="44"/>
          <w:sz w:val="32"/>
          <w:szCs w:val="32"/>
        </w:rPr>
        <w:t>涉嫌犯罪的，移送有关国家机关处理。</w:t>
      </w:r>
    </w:p>
    <w:p>
      <w:pPr>
        <w:spacing w:before="110" w:line="222" w:lineRule="auto"/>
        <w:ind w:firstLine="3072" w:firstLineChars="1100"/>
        <w:rPr>
          <w:rFonts w:hint="eastAsia" w:ascii="黑体" w:hAnsi="黑体" w:eastAsia="黑体" w:cs="黑体"/>
          <w:sz w:val="32"/>
          <w:szCs w:val="32"/>
        </w:rPr>
      </w:pPr>
      <w:r>
        <w:rPr>
          <w:rFonts w:hint="eastAsia" w:ascii="黑体" w:hAnsi="黑体" w:eastAsia="黑体" w:cs="黑体"/>
          <w:b/>
          <w:bCs/>
          <w:spacing w:val="-21"/>
          <w:sz w:val="32"/>
          <w:szCs w:val="32"/>
        </w:rPr>
        <w:t>第</w:t>
      </w:r>
      <w:r>
        <w:rPr>
          <w:rFonts w:hint="eastAsia" w:ascii="黑体" w:hAnsi="黑体" w:eastAsia="黑体" w:cs="黑体"/>
          <w:spacing w:val="-40"/>
          <w:sz w:val="32"/>
          <w:szCs w:val="32"/>
        </w:rPr>
        <w:t xml:space="preserve"> </w:t>
      </w:r>
      <w:r>
        <w:rPr>
          <w:rFonts w:hint="eastAsia" w:ascii="黑体" w:hAnsi="黑体" w:eastAsia="黑体" w:cs="黑体"/>
          <w:b/>
          <w:bCs/>
          <w:spacing w:val="-21"/>
          <w:sz w:val="32"/>
          <w:szCs w:val="32"/>
        </w:rPr>
        <w:t>五</w:t>
      </w:r>
      <w:r>
        <w:rPr>
          <w:rFonts w:hint="eastAsia" w:ascii="黑体" w:hAnsi="黑体" w:eastAsia="黑体" w:cs="黑体"/>
          <w:spacing w:val="-51"/>
          <w:sz w:val="32"/>
          <w:szCs w:val="32"/>
        </w:rPr>
        <w:t xml:space="preserve"> </w:t>
      </w:r>
      <w:r>
        <w:rPr>
          <w:rFonts w:hint="eastAsia" w:ascii="黑体" w:hAnsi="黑体" w:eastAsia="黑体" w:cs="黑体"/>
          <w:b/>
          <w:bCs/>
          <w:spacing w:val="-21"/>
          <w:sz w:val="32"/>
          <w:szCs w:val="32"/>
        </w:rPr>
        <w:t>章</w:t>
      </w:r>
      <w:r>
        <w:rPr>
          <w:rFonts w:hint="eastAsia" w:ascii="黑体" w:hAnsi="黑体" w:eastAsia="黑体" w:cs="黑体"/>
          <w:b/>
          <w:bCs/>
          <w:spacing w:val="-21"/>
          <w:sz w:val="32"/>
          <w:szCs w:val="32"/>
          <w:lang w:val="en-US" w:eastAsia="zh-CN"/>
        </w:rPr>
        <w:t xml:space="preserve">  </w:t>
      </w:r>
      <w:r>
        <w:rPr>
          <w:rFonts w:hint="eastAsia" w:ascii="黑体" w:hAnsi="黑体" w:eastAsia="黑体" w:cs="黑体"/>
          <w:spacing w:val="-34"/>
          <w:sz w:val="32"/>
          <w:szCs w:val="32"/>
        </w:rPr>
        <w:t xml:space="preserve"> </w:t>
      </w:r>
      <w:r>
        <w:rPr>
          <w:rFonts w:hint="eastAsia" w:ascii="黑体" w:hAnsi="黑体" w:eastAsia="黑体" w:cs="黑体"/>
          <w:b/>
          <w:bCs/>
          <w:spacing w:val="-21"/>
          <w:sz w:val="32"/>
          <w:szCs w:val="32"/>
        </w:rPr>
        <w:t>附</w:t>
      </w:r>
      <w:r>
        <w:rPr>
          <w:rFonts w:hint="eastAsia" w:ascii="黑体" w:hAnsi="黑体" w:eastAsia="黑体" w:cs="黑体"/>
          <w:spacing w:val="-54"/>
          <w:sz w:val="32"/>
          <w:szCs w:val="32"/>
        </w:rPr>
        <w:t xml:space="preserve"> </w:t>
      </w:r>
      <w:r>
        <w:rPr>
          <w:rFonts w:hint="eastAsia" w:ascii="黑体" w:hAnsi="黑体" w:eastAsia="黑体" w:cs="黑体"/>
          <w:b/>
          <w:bCs/>
          <w:spacing w:val="-21"/>
          <w:sz w:val="32"/>
          <w:szCs w:val="32"/>
        </w:rPr>
        <w:t>则</w:t>
      </w:r>
    </w:p>
    <w:p>
      <w:pPr>
        <w:spacing w:before="111" w:line="219" w:lineRule="auto"/>
        <w:ind w:firstLine="700" w:firstLineChars="200"/>
        <w:rPr>
          <w:rFonts w:hint="eastAsia" w:ascii="仿宋" w:hAnsi="仿宋" w:eastAsia="仿宋" w:cs="仿宋"/>
          <w:sz w:val="32"/>
          <w:szCs w:val="32"/>
        </w:rPr>
      </w:pPr>
      <w:r>
        <w:rPr>
          <w:rFonts w:hint="eastAsia" w:ascii="仿宋" w:hAnsi="仿宋" w:eastAsia="仿宋" w:cs="仿宋"/>
          <w:spacing w:val="15"/>
          <w:sz w:val="32"/>
          <w:szCs w:val="32"/>
        </w:rPr>
        <w:t>第十七条本办法自印发之日起施行。</w:t>
      </w:r>
    </w:p>
    <w:p>
      <w:pPr>
        <w:spacing w:line="242" w:lineRule="auto"/>
        <w:rPr>
          <w:rFonts w:ascii="Arial"/>
          <w:sz w:val="21"/>
        </w:rPr>
      </w:pPr>
    </w:p>
    <w:p>
      <w:pPr>
        <w:pStyle w:val="3"/>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lang w:val="en-US" w:eastAsia="zh-CN"/>
        </w:rPr>
      </w:pPr>
      <w:r>
        <w:rPr>
          <w:rFonts w:hint="eastAsia" w:ascii="仿宋" w:hAnsi="仿宋" w:eastAsia="仿宋"/>
          <w:sz w:val="32"/>
          <w:szCs w:val="32"/>
        </w:rPr>
        <w:t xml:space="preserve"> </w:t>
      </w:r>
      <w:r>
        <w:rPr>
          <w:rFonts w:ascii="仿宋" w:hAnsi="仿宋" w:eastAsia="仿宋"/>
          <w:sz w:val="32"/>
          <w:szCs w:val="32"/>
        </w:rPr>
        <w:t xml:space="preserve">   </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3A9DCB-A442-4644-AE8B-65E6E2590C8F}"/>
  </w:font>
  <w:font w:name="黑体">
    <w:panose1 w:val="02010609060101010101"/>
    <w:charset w:val="86"/>
    <w:family w:val="auto"/>
    <w:pitch w:val="default"/>
    <w:sig w:usb0="800002BF" w:usb1="38CF7CFA" w:usb2="00000016" w:usb3="00000000" w:csb0="00040001" w:csb1="00000000"/>
    <w:embedRegular r:id="rId2" w:fontKey="{626901F7-2486-4681-A4E5-5478D7FA7E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A3FD3064-550C-42CC-BBBE-CF6C60AD16A8}"/>
  </w:font>
  <w:font w:name="仿宋_GB2312">
    <w:altName w:val="仿宋"/>
    <w:panose1 w:val="02010609030101010101"/>
    <w:charset w:val="86"/>
    <w:family w:val="auto"/>
    <w:pitch w:val="default"/>
    <w:sig w:usb0="00000000" w:usb1="00000000" w:usb2="00000000" w:usb3="00000000" w:csb0="00040000" w:csb1="00000000"/>
    <w:embedRegular r:id="rId4" w:fontKey="{2F76AC06-AF00-47B2-B89D-920A5DDF136E}"/>
  </w:font>
  <w:font w:name="仿宋">
    <w:panose1 w:val="02010609060101010101"/>
    <w:charset w:val="86"/>
    <w:family w:val="auto"/>
    <w:pitch w:val="default"/>
    <w:sig w:usb0="800002BF" w:usb1="38CF7CFA" w:usb2="00000016" w:usb3="00000000" w:csb0="00040001" w:csb1="00000000"/>
    <w:embedRegular r:id="rId5" w:fontKey="{CD31AE3B-70EC-42F2-B889-4E7DF55D4B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5905"/>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383D2"/>
    <w:multiLevelType w:val="singleLevel"/>
    <w:tmpl w:val="A36383D2"/>
    <w:lvl w:ilvl="0" w:tentative="0">
      <w:start w:val="1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YWFlYjJjYThhODAzNjQ3ODg1OTVkMTY2YmIzMGUifQ=="/>
  </w:docVars>
  <w:rsids>
    <w:rsidRoot w:val="00A85FDA"/>
    <w:rsid w:val="00032861"/>
    <w:rsid w:val="00094CD3"/>
    <w:rsid w:val="00164C26"/>
    <w:rsid w:val="0018049F"/>
    <w:rsid w:val="00190807"/>
    <w:rsid w:val="001F69C0"/>
    <w:rsid w:val="003A1AEE"/>
    <w:rsid w:val="003E0D17"/>
    <w:rsid w:val="004678F4"/>
    <w:rsid w:val="00534E63"/>
    <w:rsid w:val="005674AC"/>
    <w:rsid w:val="005A4ADF"/>
    <w:rsid w:val="005D3F92"/>
    <w:rsid w:val="00767BBA"/>
    <w:rsid w:val="00836F80"/>
    <w:rsid w:val="009728A2"/>
    <w:rsid w:val="00A85FDA"/>
    <w:rsid w:val="00B849CF"/>
    <w:rsid w:val="00BD57F3"/>
    <w:rsid w:val="00C9450B"/>
    <w:rsid w:val="00E328C5"/>
    <w:rsid w:val="00F6251F"/>
    <w:rsid w:val="00F81CF4"/>
    <w:rsid w:val="00FC7C52"/>
    <w:rsid w:val="0176294C"/>
    <w:rsid w:val="018045BF"/>
    <w:rsid w:val="024912E2"/>
    <w:rsid w:val="02A2346E"/>
    <w:rsid w:val="03BE7C56"/>
    <w:rsid w:val="04BD5180"/>
    <w:rsid w:val="05A46292"/>
    <w:rsid w:val="05B60931"/>
    <w:rsid w:val="062F7248"/>
    <w:rsid w:val="067D59FE"/>
    <w:rsid w:val="071123BA"/>
    <w:rsid w:val="07D6688B"/>
    <w:rsid w:val="0A615CBE"/>
    <w:rsid w:val="0A950D9C"/>
    <w:rsid w:val="0ABE2142"/>
    <w:rsid w:val="0B6225B4"/>
    <w:rsid w:val="0B6B496C"/>
    <w:rsid w:val="0BC85587"/>
    <w:rsid w:val="0BE107DE"/>
    <w:rsid w:val="0C450DC9"/>
    <w:rsid w:val="0CB01048"/>
    <w:rsid w:val="0CB52610"/>
    <w:rsid w:val="0D6F5D65"/>
    <w:rsid w:val="0E50423F"/>
    <w:rsid w:val="0E670A19"/>
    <w:rsid w:val="0E6F20D1"/>
    <w:rsid w:val="0F5712C4"/>
    <w:rsid w:val="103A226A"/>
    <w:rsid w:val="10986415"/>
    <w:rsid w:val="111451B1"/>
    <w:rsid w:val="11902A8A"/>
    <w:rsid w:val="1209283C"/>
    <w:rsid w:val="12633CFA"/>
    <w:rsid w:val="12BE4941"/>
    <w:rsid w:val="12EE783A"/>
    <w:rsid w:val="133515A4"/>
    <w:rsid w:val="139F2AA3"/>
    <w:rsid w:val="13E74340"/>
    <w:rsid w:val="15983C72"/>
    <w:rsid w:val="15E909BB"/>
    <w:rsid w:val="161517B0"/>
    <w:rsid w:val="161B48EC"/>
    <w:rsid w:val="1626338D"/>
    <w:rsid w:val="16AB294D"/>
    <w:rsid w:val="181C2A93"/>
    <w:rsid w:val="18446293"/>
    <w:rsid w:val="188B7441"/>
    <w:rsid w:val="18F1166C"/>
    <w:rsid w:val="19314B52"/>
    <w:rsid w:val="19DE38B8"/>
    <w:rsid w:val="1AED0FD7"/>
    <w:rsid w:val="1B666609"/>
    <w:rsid w:val="1B993F32"/>
    <w:rsid w:val="1C1B4316"/>
    <w:rsid w:val="1C5608A6"/>
    <w:rsid w:val="1D0001C5"/>
    <w:rsid w:val="1D176293"/>
    <w:rsid w:val="1DBF7179"/>
    <w:rsid w:val="1DCE00B8"/>
    <w:rsid w:val="1DF93765"/>
    <w:rsid w:val="1F36633B"/>
    <w:rsid w:val="1F953961"/>
    <w:rsid w:val="20586E69"/>
    <w:rsid w:val="20994D8B"/>
    <w:rsid w:val="20B828DC"/>
    <w:rsid w:val="21991103"/>
    <w:rsid w:val="22C10347"/>
    <w:rsid w:val="2415074E"/>
    <w:rsid w:val="245E2EB0"/>
    <w:rsid w:val="249D7540"/>
    <w:rsid w:val="24C745BD"/>
    <w:rsid w:val="25C66B2A"/>
    <w:rsid w:val="26CE33AD"/>
    <w:rsid w:val="27BC5F2F"/>
    <w:rsid w:val="27C66E1F"/>
    <w:rsid w:val="27D8263D"/>
    <w:rsid w:val="27F914F6"/>
    <w:rsid w:val="28137B19"/>
    <w:rsid w:val="282A43F0"/>
    <w:rsid w:val="290F1D89"/>
    <w:rsid w:val="2984482A"/>
    <w:rsid w:val="29B01389"/>
    <w:rsid w:val="2A013806"/>
    <w:rsid w:val="2A1C43EE"/>
    <w:rsid w:val="2A691C7C"/>
    <w:rsid w:val="2AFE0D2A"/>
    <w:rsid w:val="2C5F341E"/>
    <w:rsid w:val="2D3270F1"/>
    <w:rsid w:val="2D3A654F"/>
    <w:rsid w:val="2E073C7C"/>
    <w:rsid w:val="2E4505C4"/>
    <w:rsid w:val="2E4E0CE7"/>
    <w:rsid w:val="2E8951CB"/>
    <w:rsid w:val="2EA63495"/>
    <w:rsid w:val="2EE30245"/>
    <w:rsid w:val="2FFA6ACC"/>
    <w:rsid w:val="30F5600E"/>
    <w:rsid w:val="31301F37"/>
    <w:rsid w:val="318E69A9"/>
    <w:rsid w:val="31921AAF"/>
    <w:rsid w:val="329D1687"/>
    <w:rsid w:val="32EA1F3E"/>
    <w:rsid w:val="32F447AC"/>
    <w:rsid w:val="33056032"/>
    <w:rsid w:val="33372BCE"/>
    <w:rsid w:val="333B5573"/>
    <w:rsid w:val="33F151B2"/>
    <w:rsid w:val="34367069"/>
    <w:rsid w:val="34A73AC3"/>
    <w:rsid w:val="34D868C2"/>
    <w:rsid w:val="36A545DB"/>
    <w:rsid w:val="36A91D74"/>
    <w:rsid w:val="36BA5D2F"/>
    <w:rsid w:val="36DC4C50"/>
    <w:rsid w:val="37480117"/>
    <w:rsid w:val="376A772B"/>
    <w:rsid w:val="378E2B42"/>
    <w:rsid w:val="37E1582F"/>
    <w:rsid w:val="383F6A68"/>
    <w:rsid w:val="38CA0908"/>
    <w:rsid w:val="39047B84"/>
    <w:rsid w:val="39BE3267"/>
    <w:rsid w:val="3BA51D84"/>
    <w:rsid w:val="3BAF35C3"/>
    <w:rsid w:val="3DB82F83"/>
    <w:rsid w:val="3E0D1E65"/>
    <w:rsid w:val="411F0436"/>
    <w:rsid w:val="41D57EC1"/>
    <w:rsid w:val="42E74D10"/>
    <w:rsid w:val="43056AAD"/>
    <w:rsid w:val="43DC5A36"/>
    <w:rsid w:val="44410620"/>
    <w:rsid w:val="448E4357"/>
    <w:rsid w:val="450D6A4D"/>
    <w:rsid w:val="45220E5C"/>
    <w:rsid w:val="46124BF1"/>
    <w:rsid w:val="46FD0CB5"/>
    <w:rsid w:val="47291FF4"/>
    <w:rsid w:val="480C2163"/>
    <w:rsid w:val="48192F89"/>
    <w:rsid w:val="4923444D"/>
    <w:rsid w:val="492C1601"/>
    <w:rsid w:val="49D62A28"/>
    <w:rsid w:val="4BEF02F1"/>
    <w:rsid w:val="4C345634"/>
    <w:rsid w:val="4D783DF7"/>
    <w:rsid w:val="4E327747"/>
    <w:rsid w:val="502D396A"/>
    <w:rsid w:val="503C55AF"/>
    <w:rsid w:val="510C3439"/>
    <w:rsid w:val="514032DF"/>
    <w:rsid w:val="514F5141"/>
    <w:rsid w:val="5152551A"/>
    <w:rsid w:val="518B5560"/>
    <w:rsid w:val="51DF13EA"/>
    <w:rsid w:val="527505BC"/>
    <w:rsid w:val="52B70F1D"/>
    <w:rsid w:val="52FF2584"/>
    <w:rsid w:val="531554D6"/>
    <w:rsid w:val="533570B5"/>
    <w:rsid w:val="53ED4198"/>
    <w:rsid w:val="542C60CC"/>
    <w:rsid w:val="54454E18"/>
    <w:rsid w:val="54623577"/>
    <w:rsid w:val="547301A5"/>
    <w:rsid w:val="54D73AF9"/>
    <w:rsid w:val="54E51AEF"/>
    <w:rsid w:val="553D5D36"/>
    <w:rsid w:val="55766E6E"/>
    <w:rsid w:val="55AE6607"/>
    <w:rsid w:val="57136DED"/>
    <w:rsid w:val="58B714A0"/>
    <w:rsid w:val="59851D75"/>
    <w:rsid w:val="59EF50A4"/>
    <w:rsid w:val="5AEE5D59"/>
    <w:rsid w:val="5B57329D"/>
    <w:rsid w:val="5BB24978"/>
    <w:rsid w:val="5BEE4B7C"/>
    <w:rsid w:val="5C05524E"/>
    <w:rsid w:val="5CD55613"/>
    <w:rsid w:val="5CD74D00"/>
    <w:rsid w:val="5D5F17A7"/>
    <w:rsid w:val="5E7F4FE5"/>
    <w:rsid w:val="5F3C3992"/>
    <w:rsid w:val="5F97075F"/>
    <w:rsid w:val="5FC52BBE"/>
    <w:rsid w:val="600B3148"/>
    <w:rsid w:val="61137C66"/>
    <w:rsid w:val="61DF4668"/>
    <w:rsid w:val="61F96C94"/>
    <w:rsid w:val="62121602"/>
    <w:rsid w:val="62F15D85"/>
    <w:rsid w:val="63767E7B"/>
    <w:rsid w:val="637C5F97"/>
    <w:rsid w:val="64767613"/>
    <w:rsid w:val="657333CA"/>
    <w:rsid w:val="65DE2082"/>
    <w:rsid w:val="661E0E4A"/>
    <w:rsid w:val="66C04C22"/>
    <w:rsid w:val="66F623FD"/>
    <w:rsid w:val="67112E9A"/>
    <w:rsid w:val="6718015E"/>
    <w:rsid w:val="674E7C4A"/>
    <w:rsid w:val="682174E3"/>
    <w:rsid w:val="696404E0"/>
    <w:rsid w:val="69F34AD9"/>
    <w:rsid w:val="6AAB60E7"/>
    <w:rsid w:val="6AD5401D"/>
    <w:rsid w:val="6AE23D42"/>
    <w:rsid w:val="6B331B55"/>
    <w:rsid w:val="6B4D7728"/>
    <w:rsid w:val="6B9145AA"/>
    <w:rsid w:val="6BED355F"/>
    <w:rsid w:val="6C490267"/>
    <w:rsid w:val="6C4A590D"/>
    <w:rsid w:val="6D2F407A"/>
    <w:rsid w:val="6E4B33C2"/>
    <w:rsid w:val="6E7D7067"/>
    <w:rsid w:val="6E9F307A"/>
    <w:rsid w:val="6FB36F21"/>
    <w:rsid w:val="70824BFC"/>
    <w:rsid w:val="70943A78"/>
    <w:rsid w:val="7165401C"/>
    <w:rsid w:val="720A615B"/>
    <w:rsid w:val="72270AEF"/>
    <w:rsid w:val="728A3B01"/>
    <w:rsid w:val="72D76074"/>
    <w:rsid w:val="72DB435C"/>
    <w:rsid w:val="73075151"/>
    <w:rsid w:val="732301DD"/>
    <w:rsid w:val="7330657A"/>
    <w:rsid w:val="739871E0"/>
    <w:rsid w:val="73D52875"/>
    <w:rsid w:val="73EE6CEC"/>
    <w:rsid w:val="741B31A3"/>
    <w:rsid w:val="74A2091A"/>
    <w:rsid w:val="760D6F22"/>
    <w:rsid w:val="76171BDF"/>
    <w:rsid w:val="761F1AD5"/>
    <w:rsid w:val="76B61368"/>
    <w:rsid w:val="77A2369A"/>
    <w:rsid w:val="77B966A8"/>
    <w:rsid w:val="784B0A81"/>
    <w:rsid w:val="784B5AE0"/>
    <w:rsid w:val="79555700"/>
    <w:rsid w:val="79B42BA4"/>
    <w:rsid w:val="7ACC4650"/>
    <w:rsid w:val="7B1D3764"/>
    <w:rsid w:val="7EBD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99"/>
    <w:rPr>
      <w:sz w:val="24"/>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脚 Char"/>
    <w:basedOn w:val="7"/>
    <w:link w:val="2"/>
    <w:qFormat/>
    <w:uiPriority w:val="99"/>
    <w:rPr>
      <w:sz w:val="18"/>
      <w:szCs w:val="18"/>
    </w:rPr>
  </w:style>
  <w:style w:type="character" w:customStyle="1" w:styleId="11">
    <w:name w:val="页眉 Char"/>
    <w:basedOn w:val="7"/>
    <w:link w:val="4"/>
    <w:semiHidden/>
    <w:qFormat/>
    <w:uiPriority w:val="99"/>
    <w:rPr>
      <w:sz w:val="18"/>
      <w:szCs w:val="18"/>
    </w:rPr>
  </w:style>
  <w:style w:type="paragraph" w:customStyle="1" w:styleId="12">
    <w:name w:val="正文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3">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正文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5">
    <w:name w:val="正文 New New New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正文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2772</Words>
  <Characters>2802</Characters>
  <Lines>19</Lines>
  <Paragraphs>5</Paragraphs>
  <TotalTime>5</TotalTime>
  <ScaleCrop>false</ScaleCrop>
  <LinksUpToDate>false</LinksUpToDate>
  <CharactersWithSpaces>2920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2019-09-29T02:47:00Z</dcterms:created>
  <dc:creator>微软用户</dc:creator>
  <cp:lastModifiedBy>Halo</cp:lastModifiedBy>
  <cp:lastPrinted>2023-02-07T03:16:00Z</cp:lastPrinted>
  <dcterms:modified xsi:type="dcterms:W3CDTF">2023-02-08T07:52:11Z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9F828E271C274B1F9C00DEDCFB460ACF</vt:lpwstr>
  </property>
</Properties>
</file>