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ind w:left="0" w:leftChars="0"/>
        <w:jc w:val="center"/>
        <w:rPr>
          <w:rFonts w:ascii="方正小标宋简体" w:hAnsi="方正小标宋简体" w:eastAsia="方正小标宋简体"/>
          <w:spacing w:val="0"/>
          <w:sz w:val="44"/>
          <w:szCs w:val="44"/>
        </w:rPr>
      </w:pPr>
      <w:r>
        <w:rPr>
          <w:rFonts w:hint="eastAsia" w:ascii="方正小标宋简体" w:hAnsi="方正小标宋简体" w:eastAsia="方正小标宋简体" w:cs="方正小标宋简体"/>
          <w:spacing w:val="0"/>
          <w:sz w:val="44"/>
          <w:szCs w:val="44"/>
        </w:rPr>
        <w:t>宝山区民政局</w:t>
      </w:r>
      <w:r>
        <w:rPr>
          <w:rFonts w:ascii="方正小标宋简体" w:hAnsi="方正小标宋简体" w:eastAsia="方正小标宋简体" w:cs="方正小标宋简体"/>
          <w:spacing w:val="0"/>
          <w:sz w:val="44"/>
          <w:szCs w:val="44"/>
        </w:rPr>
        <w:t>202</w:t>
      </w:r>
      <w:r>
        <w:rPr>
          <w:rFonts w:hint="eastAsia" w:ascii="方正小标宋简体" w:hAnsi="方正小标宋简体" w:eastAsia="方正小标宋简体" w:cs="方正小标宋简体"/>
          <w:spacing w:val="0"/>
          <w:sz w:val="44"/>
          <w:szCs w:val="44"/>
          <w:lang w:val="en-US" w:eastAsia="zh-CN"/>
        </w:rPr>
        <w:t>5</w:t>
      </w:r>
      <w:r>
        <w:rPr>
          <w:rFonts w:hint="eastAsia" w:ascii="方正小标宋简体" w:hAnsi="方正小标宋简体" w:eastAsia="方正小标宋简体" w:cs="方正小标宋简体"/>
          <w:spacing w:val="0"/>
          <w:sz w:val="44"/>
          <w:szCs w:val="44"/>
        </w:rPr>
        <w:t>年政府信息公开工作</w:t>
      </w:r>
    </w:p>
    <w:p>
      <w:pPr>
        <w:keepNext w:val="0"/>
        <w:keepLines w:val="0"/>
        <w:pageBreakBefore w:val="0"/>
        <w:wordWrap/>
        <w:overflowPunct/>
        <w:topLinePunct w:val="0"/>
        <w:bidi w:val="0"/>
        <w:spacing w:line="560" w:lineRule="exact"/>
        <w:ind w:left="0" w:leftChars="0"/>
        <w:jc w:val="center"/>
        <w:rPr>
          <w:rFonts w:ascii="方正小标宋简体" w:hAnsi="方正小标宋简体" w:eastAsia="方正小标宋简体"/>
          <w:spacing w:val="0"/>
          <w:sz w:val="44"/>
          <w:szCs w:val="44"/>
        </w:rPr>
      </w:pPr>
      <w:r>
        <w:rPr>
          <w:rFonts w:hint="eastAsia" w:ascii="方正小标宋简体" w:hAnsi="方正小标宋简体" w:eastAsia="方正小标宋简体" w:cs="方正小标宋简体"/>
          <w:spacing w:val="0"/>
          <w:sz w:val="44"/>
          <w:szCs w:val="44"/>
        </w:rPr>
        <w:t>年</w:t>
      </w:r>
      <w:r>
        <w:rPr>
          <w:rFonts w:ascii="方正小标宋简体" w:hAnsi="方正小标宋简体" w:eastAsia="方正小标宋简体" w:cs="方正小标宋简体"/>
          <w:spacing w:val="0"/>
          <w:sz w:val="44"/>
          <w:szCs w:val="44"/>
        </w:rPr>
        <w:t xml:space="preserve"> </w:t>
      </w:r>
      <w:r>
        <w:rPr>
          <w:rFonts w:hint="eastAsia" w:ascii="方正小标宋简体" w:hAnsi="方正小标宋简体" w:eastAsia="方正小标宋简体" w:cs="方正小标宋简体"/>
          <w:spacing w:val="0"/>
          <w:sz w:val="44"/>
          <w:szCs w:val="44"/>
        </w:rPr>
        <w:t>度</w:t>
      </w:r>
      <w:r>
        <w:rPr>
          <w:rFonts w:ascii="方正小标宋简体" w:hAnsi="方正小标宋简体" w:eastAsia="方正小标宋简体" w:cs="方正小标宋简体"/>
          <w:spacing w:val="0"/>
          <w:sz w:val="44"/>
          <w:szCs w:val="44"/>
        </w:rPr>
        <w:t xml:space="preserve"> </w:t>
      </w:r>
      <w:r>
        <w:rPr>
          <w:rFonts w:hint="eastAsia" w:ascii="方正小标宋简体" w:hAnsi="方正小标宋简体" w:eastAsia="方正小标宋简体" w:cs="方正小标宋简体"/>
          <w:spacing w:val="0"/>
          <w:sz w:val="44"/>
          <w:szCs w:val="44"/>
        </w:rPr>
        <w:t>报</w:t>
      </w:r>
      <w:r>
        <w:rPr>
          <w:rFonts w:ascii="方正小标宋简体" w:hAnsi="方正小标宋简体" w:eastAsia="方正小标宋简体" w:cs="方正小标宋简体"/>
          <w:spacing w:val="0"/>
          <w:sz w:val="44"/>
          <w:szCs w:val="44"/>
        </w:rPr>
        <w:t xml:space="preserve"> </w:t>
      </w:r>
      <w:r>
        <w:rPr>
          <w:rFonts w:hint="eastAsia" w:ascii="方正小标宋简体" w:hAnsi="方正小标宋简体" w:eastAsia="方正小标宋简体" w:cs="方正小标宋简体"/>
          <w:spacing w:val="0"/>
          <w:sz w:val="44"/>
          <w:szCs w:val="44"/>
        </w:rPr>
        <w:t>告</w:t>
      </w:r>
    </w:p>
    <w:p>
      <w:pPr>
        <w:keepNext w:val="0"/>
        <w:keepLines w:val="0"/>
        <w:pageBreakBefore w:val="0"/>
        <w:wordWrap/>
        <w:overflowPunct/>
        <w:topLinePunct w:val="0"/>
        <w:bidi w:val="0"/>
        <w:spacing w:line="560" w:lineRule="exact"/>
        <w:ind w:left="0" w:leftChars="0" w:firstLine="630"/>
        <w:jc w:val="left"/>
        <w:rPr>
          <w:rFonts w:hint="eastAsia" w:ascii="仿宋_GB2312" w:eastAsia="仿宋_GB2312" w:cs="仿宋_GB2312"/>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left"/>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根据《中华人民共和国政府信息公开条例》和区委、区政府信息公开规定要求，由宝山民政局编制并公布2025年度宝山区民政局政府信息公开年度报告。本报告由政府信息公开工作的基</w:t>
      </w:r>
      <w:bookmarkStart w:id="0" w:name="_GoBack"/>
      <w:bookmarkEnd w:id="0"/>
      <w:r>
        <w:rPr>
          <w:rFonts w:hint="eastAsia" w:ascii="仿宋_GB2312" w:hAnsi="仿宋_GB2312" w:eastAsia="仿宋_GB2312" w:cs="仿宋_GB2312"/>
          <w:spacing w:val="0"/>
          <w:sz w:val="32"/>
          <w:szCs w:val="32"/>
          <w:lang w:val="en-US" w:eastAsia="zh-CN"/>
        </w:rPr>
        <w:t>本概况，推进重点领域政府信息公开情况，主动公开政府信息的情况，依申请公开政府信息和不予公开政府信息的情况，政府信息公开的收费及减免情况，因政府信息公开申请行政复议、提起行政诉讼的情况，政府信息公开工作存在的主要问题及改进情况，本年度报告中所列数据的统计期限自2025年1月1日起至12月31日止。本年度报告通过宝山区人民政府网站（sysbsq.gov.cn)全文公开。如对本年度报告有任何疑问，请与宝山区民政局办公室联系（地址：宝山区，宝一路831号，邮编：155131；电话（传真）：0469—2609276，电子邮箱：bsmzj0469@126.com）。</w:t>
      </w:r>
    </w:p>
    <w:p>
      <w:pPr>
        <w:pStyle w:val="3"/>
        <w:keepNext w:val="0"/>
        <w:keepLines w:val="0"/>
        <w:pageBreakBefore w:val="0"/>
        <w:numPr>
          <w:ilvl w:val="0"/>
          <w:numId w:val="0"/>
        </w:numPr>
        <w:wordWrap/>
        <w:overflowPunct/>
        <w:topLinePunct w:val="0"/>
        <w:bidi w:val="0"/>
        <w:spacing w:line="560" w:lineRule="exact"/>
        <w:ind w:firstLine="640" w:firstLineChars="200"/>
        <w:rPr>
          <w:rFonts w:hint="eastAsia" w:ascii="黑体" w:hAnsi="宋体" w:eastAsia="黑体" w:cs="黑体"/>
          <w:spacing w:val="0"/>
          <w:sz w:val="32"/>
          <w:szCs w:val="32"/>
          <w:lang w:eastAsia="zh-CN"/>
        </w:rPr>
      </w:pPr>
      <w:r>
        <w:rPr>
          <w:rFonts w:hint="eastAsia" w:ascii="黑体" w:hAnsi="宋体" w:eastAsia="黑体" w:cs="黑体"/>
          <w:spacing w:val="0"/>
          <w:sz w:val="32"/>
          <w:szCs w:val="32"/>
          <w:lang w:eastAsia="zh-CN"/>
        </w:rPr>
        <w:t>一、基本概况</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left"/>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2025年我局紧紧围绕《中华人民共和国政府信息公开条例》相关要求，深入贯彻落实区委、区政府信息公开工作的部署，坚持“以公开为原则，不公开为例外”的工作理念，做好主动公开和不予公开的政府信息的界定，重点做好涉及群众利益和社会发展的民政政策、职能、重点实事项目及进展情况、民政规费、办事流程、社会救助政策等政府信息的主动公开，力求做到将所有的服务内容、标准、程序、结果、监督措施都实现全部公开，增加透明度，把全部工作置于群众的监督之下。</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3" w:firstLineChars="200"/>
        <w:jc w:val="left"/>
        <w:textAlignment w:val="baseline"/>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b/>
          <w:bCs/>
          <w:spacing w:val="0"/>
          <w:kern w:val="2"/>
          <w:sz w:val="32"/>
          <w:szCs w:val="32"/>
          <w:lang w:val="en-US" w:eastAsia="zh-CN" w:bidi="ar-SA"/>
        </w:rPr>
        <w:t>1.公开社会救助标准。</w:t>
      </w:r>
      <w:r>
        <w:rPr>
          <w:rFonts w:hint="eastAsia" w:ascii="仿宋_GB2312" w:hAnsi="仿宋_GB2312" w:eastAsia="仿宋_GB2312" w:cs="仿宋_GB2312"/>
          <w:spacing w:val="0"/>
          <w:sz w:val="32"/>
          <w:szCs w:val="32"/>
          <w:lang w:val="en-US" w:eastAsia="zh-CN"/>
        </w:rPr>
        <w:t>按照《双鸭山市民政局 双鸭山市财政局关于做好提高城乡低保和特困人员救助供养标准有关工作的通知》（双民联〔2025〕4号）文件要求，</w:t>
      </w:r>
      <w:r>
        <w:rPr>
          <w:rFonts w:hint="eastAsia" w:ascii="仿宋_GB2312" w:hAnsi="仿宋_GB2312" w:eastAsia="仿宋_GB2312" w:cs="仿宋_GB2312"/>
          <w:spacing w:val="0"/>
          <w:sz w:val="32"/>
          <w:szCs w:val="32"/>
          <w:highlight w:val="none"/>
          <w:lang w:val="en-US" w:eastAsia="zh-CN"/>
        </w:rPr>
        <w:t>自2025年5月起</w:t>
      </w:r>
      <w:r>
        <w:rPr>
          <w:rFonts w:hint="eastAsia" w:ascii="仿宋_GB2312" w:hAnsi="仿宋_GB2312" w:eastAsia="仿宋_GB2312" w:cs="仿宋_GB2312"/>
          <w:spacing w:val="0"/>
          <w:sz w:val="32"/>
          <w:szCs w:val="32"/>
          <w:lang w:val="en-US" w:eastAsia="zh-CN"/>
        </w:rPr>
        <w:t>提高了城乡低保和特困供养人员救助标准，我局接到上级文件后第一时间通过正式文件下发至各街道（镇）</w:t>
      </w:r>
      <w:r>
        <w:rPr>
          <w:rFonts w:hint="default"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各社区（村），确保辖区居民及时了解救助政策。</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b/>
          <w:bCs/>
          <w:spacing w:val="0"/>
          <w:kern w:val="2"/>
          <w:sz w:val="32"/>
          <w:szCs w:val="32"/>
          <w:lang w:val="en-US" w:eastAsia="zh-CN" w:bidi="ar-SA"/>
        </w:rPr>
        <w:t>2.公开社会救助资金发放信息。</w:t>
      </w:r>
      <w:r>
        <w:rPr>
          <w:rFonts w:hint="eastAsia" w:ascii="仿宋_GB2312" w:hAnsi="仿宋_GB2312" w:eastAsia="仿宋_GB2312" w:cs="仿宋_GB2312"/>
          <w:spacing w:val="0"/>
          <w:sz w:val="32"/>
          <w:szCs w:val="32"/>
          <w:lang w:val="en-US" w:eastAsia="zh-CN"/>
        </w:rPr>
        <w:t>全年保障城乡低保户5333户7582人，累计发放低保资金5154.52万元，新增低保256户377人；为184户185名特困人员按月发放救助供养金290.71万元，切实保障特殊群体基本生活。同时，严格落实社会救助信息公开公示相关规定，对拟确认纳入保障范围的救助对象，在其居住地进行为期7天的公示；对已纳入保障范围的救助对象，在居住地实行长期公示，确保资金发放全程公开透明、可溯可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3" w:firstLineChars="200"/>
        <w:jc w:val="left"/>
        <w:textAlignment w:val="baseline"/>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b/>
          <w:bCs/>
          <w:spacing w:val="0"/>
          <w:kern w:val="2"/>
          <w:sz w:val="32"/>
          <w:szCs w:val="32"/>
          <w:lang w:val="en-US" w:eastAsia="zh-CN" w:bidi="ar-SA"/>
        </w:rPr>
        <w:t>3.公示社会救助服务热线。</w:t>
      </w:r>
      <w:r>
        <w:rPr>
          <w:rFonts w:hint="eastAsia" w:ascii="仿宋_GB2312" w:hAnsi="仿宋_GB2312" w:eastAsia="仿宋_GB2312" w:cs="仿宋_GB2312"/>
          <w:spacing w:val="0"/>
          <w:sz w:val="32"/>
          <w:szCs w:val="32"/>
          <w:lang w:val="en-US" w:eastAsia="zh-CN"/>
        </w:rPr>
        <w:t>区民政局、七星镇及各街道均已设立社会救助服务热线，并通过市民政局公众号向社会公示，为群众提供政策咨询、问题反馈等便捷服务，及时解答群众关于社会救助的各类疑问。</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黑体" w:hAnsi="宋体" w:eastAsia="黑体" w:cs="黑体"/>
          <w:spacing w:val="0"/>
          <w:sz w:val="32"/>
          <w:szCs w:val="32"/>
          <w:lang w:val="en-US" w:eastAsia="zh-CN"/>
        </w:rPr>
      </w:pPr>
      <w:r>
        <w:rPr>
          <w:rFonts w:hint="eastAsia" w:ascii="楷体_GB2312" w:hAnsi="楷体_GB2312" w:eastAsia="楷体_GB2312" w:cs="楷体_GB2312"/>
          <w:b/>
          <w:bCs/>
          <w:spacing w:val="0"/>
          <w:kern w:val="2"/>
          <w:sz w:val="32"/>
          <w:szCs w:val="32"/>
          <w:lang w:val="en-US" w:eastAsia="zh-CN" w:bidi="ar-SA"/>
        </w:rPr>
        <w:t>4.依托公众号平台拓宽公开渠道。</w:t>
      </w:r>
      <w:r>
        <w:rPr>
          <w:rFonts w:hint="eastAsia" w:ascii="仿宋_GB2312" w:hAnsi="仿宋_GB2312" w:eastAsia="仿宋_GB2312" w:cs="仿宋_GB2312"/>
          <w:spacing w:val="0"/>
          <w:sz w:val="32"/>
          <w:szCs w:val="32"/>
          <w:lang w:val="en-US" w:eastAsia="zh-CN"/>
        </w:rPr>
        <w:t>2025年，通过“观点宝山”公众号累计发布各类信息20余条，其中包含工作动态、为群众办实事等相关信息，进一步提升信息公开的覆盖面和可读性，让民政服务更加贴近群众需求。</w:t>
      </w:r>
    </w:p>
    <w:p>
      <w:pPr>
        <w:pStyle w:val="3"/>
        <w:keepNext w:val="0"/>
        <w:keepLines w:val="0"/>
        <w:pageBreakBefore w:val="0"/>
        <w:numPr>
          <w:ilvl w:val="0"/>
          <w:numId w:val="0"/>
        </w:numPr>
        <w:wordWrap/>
        <w:overflowPunct/>
        <w:topLinePunct w:val="0"/>
        <w:bidi w:val="0"/>
        <w:spacing w:line="560" w:lineRule="exact"/>
        <w:ind w:firstLine="640" w:firstLineChars="200"/>
        <w:rPr>
          <w:rFonts w:hint="eastAsia" w:ascii="黑体" w:hAnsi="宋体" w:eastAsia="黑体" w:cs="黑体"/>
          <w:sz w:val="32"/>
          <w:szCs w:val="32"/>
          <w:lang w:eastAsia="zh-CN"/>
        </w:rPr>
      </w:pPr>
      <w:r>
        <w:rPr>
          <w:rFonts w:hint="eastAsia" w:ascii="黑体" w:hAnsi="宋体" w:eastAsia="黑体" w:cs="黑体"/>
          <w:sz w:val="32"/>
          <w:szCs w:val="32"/>
          <w:lang w:val="en-US" w:eastAsia="zh-CN"/>
        </w:rPr>
        <w:t>二、</w:t>
      </w:r>
      <w:r>
        <w:rPr>
          <w:rFonts w:hint="eastAsia" w:ascii="黑体" w:hAnsi="宋体" w:eastAsia="黑体" w:cs="黑体"/>
          <w:sz w:val="32"/>
          <w:szCs w:val="32"/>
          <w:lang w:eastAsia="zh-CN"/>
        </w:rPr>
        <w:t>主动政府信息公开情况</w:t>
      </w:r>
    </w:p>
    <w:tbl>
      <w:tblPr>
        <w:tblStyle w:val="8"/>
        <w:tblW w:w="8993" w:type="dxa"/>
        <w:tblInd w:w="2" w:type="dxa"/>
        <w:tblLayout w:type="autofit"/>
        <w:tblCellMar>
          <w:top w:w="0" w:type="dxa"/>
          <w:left w:w="0" w:type="dxa"/>
          <w:bottom w:w="0" w:type="dxa"/>
          <w:right w:w="0" w:type="dxa"/>
        </w:tblCellMar>
      </w:tblPr>
      <w:tblGrid>
        <w:gridCol w:w="3109"/>
        <w:gridCol w:w="1877"/>
        <w:gridCol w:w="1262"/>
        <w:gridCol w:w="2745"/>
      </w:tblGrid>
      <w:tr>
        <w:tblPrEx>
          <w:tblCellMar>
            <w:top w:w="0" w:type="dxa"/>
            <w:left w:w="0" w:type="dxa"/>
            <w:bottom w:w="0" w:type="dxa"/>
            <w:right w:w="0" w:type="dxa"/>
          </w:tblCellMar>
        </w:tblPrEx>
        <w:tc>
          <w:tcPr>
            <w:tcW w:w="8993"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第二十条第（一）项</w:t>
            </w:r>
          </w:p>
        </w:tc>
      </w:tr>
      <w:tr>
        <w:tblPrEx>
          <w:tblCellMar>
            <w:top w:w="0" w:type="dxa"/>
            <w:left w:w="0" w:type="dxa"/>
            <w:bottom w:w="0" w:type="dxa"/>
            <w:right w:w="0" w:type="dxa"/>
          </w:tblCellMar>
        </w:tblPrEx>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信息内容</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hint="eastAsia" w:ascii="宋体" w:hAnsi="宋体" w:eastAsia="宋体" w:cs="宋体"/>
                <w:color w:val="333333"/>
                <w:kern w:val="0"/>
                <w:sz w:val="20"/>
                <w:szCs w:val="20"/>
                <w:lang w:eastAsia="zh-CN"/>
              </w:rPr>
            </w:pPr>
            <w:r>
              <w:rPr>
                <w:rFonts w:hint="eastAsia" w:ascii="宋体" w:hAnsi="宋体" w:cs="宋体"/>
                <w:color w:val="333333"/>
                <w:kern w:val="0"/>
                <w:sz w:val="20"/>
                <w:szCs w:val="20"/>
              </w:rPr>
              <w:t>本年新</w:t>
            </w:r>
          </w:p>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Calibri" w:hAnsi="Calibri" w:cs="宋体"/>
                <w:color w:val="333333"/>
                <w:kern w:val="0"/>
                <w:sz w:val="20"/>
                <w:szCs w:val="20"/>
              </w:rPr>
              <w:t>制作数量</w:t>
            </w:r>
          </w:p>
        </w:tc>
        <w:tc>
          <w:tcPr>
            <w:tcW w:w="1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hint="eastAsia" w:ascii="宋体" w:hAnsi="宋体" w:eastAsia="宋体" w:cs="宋体"/>
                <w:color w:val="333333"/>
                <w:kern w:val="0"/>
                <w:sz w:val="20"/>
                <w:szCs w:val="20"/>
                <w:lang w:eastAsia="zh-CN"/>
              </w:rPr>
            </w:pPr>
            <w:r>
              <w:rPr>
                <w:rFonts w:hint="eastAsia" w:ascii="宋体" w:hAnsi="宋体" w:cs="宋体"/>
                <w:color w:val="333333"/>
                <w:kern w:val="0"/>
                <w:sz w:val="20"/>
                <w:szCs w:val="20"/>
              </w:rPr>
              <w:t>本年新</w:t>
            </w:r>
          </w:p>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Calibri" w:hAnsi="Calibri" w:cs="宋体"/>
                <w:color w:val="333333"/>
                <w:kern w:val="0"/>
                <w:sz w:val="20"/>
                <w:szCs w:val="20"/>
              </w:rPr>
              <w:t>公开数量</w:t>
            </w:r>
          </w:p>
        </w:tc>
        <w:tc>
          <w:tcPr>
            <w:tcW w:w="27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对外公开总数量</w:t>
            </w:r>
          </w:p>
        </w:tc>
      </w:tr>
      <w:tr>
        <w:tblPrEx>
          <w:tblCellMar>
            <w:top w:w="0" w:type="dxa"/>
            <w:left w:w="0" w:type="dxa"/>
            <w:bottom w:w="0" w:type="dxa"/>
            <w:right w:w="0" w:type="dxa"/>
          </w:tblCellMar>
        </w:tblPrEx>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规章</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1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27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规范性文件</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1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27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8993"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第二十条第（五）项</w:t>
            </w:r>
          </w:p>
        </w:tc>
      </w:tr>
      <w:tr>
        <w:tblPrEx>
          <w:tblCellMar>
            <w:top w:w="0" w:type="dxa"/>
            <w:left w:w="0" w:type="dxa"/>
            <w:bottom w:w="0" w:type="dxa"/>
            <w:right w:w="0" w:type="dxa"/>
          </w:tblCellMar>
        </w:tblPrEx>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信息内容</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上一年项目数量</w:t>
            </w:r>
          </w:p>
        </w:tc>
        <w:tc>
          <w:tcPr>
            <w:tcW w:w="1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本年增</w:t>
            </w:r>
            <w:r>
              <w:rPr>
                <w:rFonts w:ascii="宋体" w:hAnsi="宋体" w:cs="宋体"/>
                <w:color w:val="333333"/>
                <w:kern w:val="0"/>
                <w:sz w:val="20"/>
                <w:szCs w:val="20"/>
              </w:rPr>
              <w:t>/</w:t>
            </w:r>
            <w:r>
              <w:rPr>
                <w:rFonts w:hint="eastAsia" w:ascii="宋体" w:hAnsi="宋体" w:cs="宋体"/>
                <w:color w:val="333333"/>
                <w:kern w:val="0"/>
                <w:sz w:val="20"/>
                <w:szCs w:val="20"/>
              </w:rPr>
              <w:t>减</w:t>
            </w:r>
          </w:p>
        </w:tc>
        <w:tc>
          <w:tcPr>
            <w:tcW w:w="27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处理决定数量</w:t>
            </w:r>
          </w:p>
        </w:tc>
      </w:tr>
      <w:tr>
        <w:tblPrEx>
          <w:tblCellMar>
            <w:top w:w="0" w:type="dxa"/>
            <w:left w:w="0" w:type="dxa"/>
            <w:bottom w:w="0" w:type="dxa"/>
            <w:right w:w="0" w:type="dxa"/>
          </w:tblCellMar>
        </w:tblPrEx>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行政许可</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hint="default" w:ascii="宋体" w:eastAsia="宋体"/>
                <w:color w:val="333333"/>
                <w:kern w:val="0"/>
                <w:sz w:val="24"/>
                <w:szCs w:val="24"/>
                <w:lang w:val="en-US" w:eastAsia="zh-CN"/>
              </w:rPr>
            </w:pPr>
            <w:r>
              <w:rPr>
                <w:rFonts w:hint="eastAsia" w:ascii="宋体"/>
                <w:color w:val="333333"/>
                <w:kern w:val="0"/>
                <w:sz w:val="24"/>
                <w:szCs w:val="24"/>
                <w:lang w:val="en-US" w:eastAsia="zh-CN"/>
              </w:rPr>
              <w:t>4</w:t>
            </w:r>
          </w:p>
        </w:tc>
        <w:tc>
          <w:tcPr>
            <w:tcW w:w="1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hint="default" w:ascii="宋体" w:eastAsia="宋体"/>
                <w:color w:val="333333"/>
                <w:kern w:val="0"/>
                <w:sz w:val="24"/>
                <w:szCs w:val="24"/>
                <w:lang w:val="en-US" w:eastAsia="zh-CN"/>
              </w:rPr>
            </w:pPr>
            <w:r>
              <w:rPr>
                <w:rFonts w:hint="eastAsia" w:ascii="宋体"/>
                <w:color w:val="333333"/>
                <w:kern w:val="0"/>
                <w:sz w:val="24"/>
                <w:szCs w:val="24"/>
                <w:lang w:val="en-US" w:eastAsia="zh-CN"/>
              </w:rPr>
              <w:t>7</w:t>
            </w:r>
          </w:p>
        </w:tc>
        <w:tc>
          <w:tcPr>
            <w:tcW w:w="27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hint="default" w:ascii="宋体" w:eastAsia="宋体"/>
                <w:color w:val="333333"/>
                <w:kern w:val="0"/>
                <w:sz w:val="24"/>
                <w:szCs w:val="24"/>
                <w:lang w:val="en-US" w:eastAsia="zh-CN"/>
              </w:rPr>
            </w:pPr>
            <w:r>
              <w:rPr>
                <w:rFonts w:hint="eastAsia" w:ascii="宋体"/>
                <w:color w:val="333333"/>
                <w:kern w:val="0"/>
                <w:sz w:val="24"/>
                <w:szCs w:val="24"/>
                <w:lang w:val="en-US" w:eastAsia="zh-CN"/>
              </w:rPr>
              <w:t>7</w:t>
            </w:r>
          </w:p>
        </w:tc>
      </w:tr>
      <w:tr>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其他对外管理服务事项</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rPr>
              <w:t>0</w:t>
            </w:r>
          </w:p>
        </w:tc>
        <w:tc>
          <w:tcPr>
            <w:tcW w:w="1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rPr>
              <w:t>0</w:t>
            </w:r>
          </w:p>
        </w:tc>
        <w:tc>
          <w:tcPr>
            <w:tcW w:w="27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rPr>
              <w:t>0</w:t>
            </w:r>
          </w:p>
        </w:tc>
      </w:tr>
      <w:tr>
        <w:tblPrEx>
          <w:tblCellMar>
            <w:top w:w="0" w:type="dxa"/>
            <w:left w:w="0" w:type="dxa"/>
            <w:bottom w:w="0" w:type="dxa"/>
            <w:right w:w="0" w:type="dxa"/>
          </w:tblCellMar>
        </w:tblPrEx>
        <w:tc>
          <w:tcPr>
            <w:tcW w:w="8993"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第二十条第（六）项</w:t>
            </w:r>
          </w:p>
        </w:tc>
      </w:tr>
      <w:tr>
        <w:tblPrEx>
          <w:tblCellMar>
            <w:top w:w="0" w:type="dxa"/>
            <w:left w:w="0" w:type="dxa"/>
            <w:bottom w:w="0" w:type="dxa"/>
            <w:right w:w="0" w:type="dxa"/>
          </w:tblCellMar>
        </w:tblPrEx>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信息内容</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上一年项目数量</w:t>
            </w:r>
          </w:p>
        </w:tc>
        <w:tc>
          <w:tcPr>
            <w:tcW w:w="1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本年增</w:t>
            </w:r>
            <w:r>
              <w:rPr>
                <w:rFonts w:ascii="宋体" w:hAnsi="宋体" w:cs="宋体"/>
                <w:color w:val="333333"/>
                <w:kern w:val="0"/>
                <w:sz w:val="20"/>
                <w:szCs w:val="20"/>
              </w:rPr>
              <w:t>/</w:t>
            </w:r>
            <w:r>
              <w:rPr>
                <w:rFonts w:hint="eastAsia" w:ascii="宋体" w:hAnsi="宋体" w:cs="宋体"/>
                <w:color w:val="333333"/>
                <w:kern w:val="0"/>
                <w:sz w:val="20"/>
                <w:szCs w:val="20"/>
              </w:rPr>
              <w:t>减</w:t>
            </w:r>
          </w:p>
        </w:tc>
        <w:tc>
          <w:tcPr>
            <w:tcW w:w="27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处理决定数量</w:t>
            </w:r>
          </w:p>
        </w:tc>
      </w:tr>
      <w:tr>
        <w:tblPrEx>
          <w:tblCellMar>
            <w:top w:w="0" w:type="dxa"/>
            <w:left w:w="0" w:type="dxa"/>
            <w:bottom w:w="0" w:type="dxa"/>
            <w:right w:w="0" w:type="dxa"/>
          </w:tblCellMar>
        </w:tblPrEx>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行政处罚</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1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hAnsi="宋体" w:cs="宋体"/>
                <w:color w:val="333333"/>
                <w:kern w:val="0"/>
                <w:sz w:val="20"/>
                <w:szCs w:val="20"/>
              </w:rPr>
              <w:t>0%</w:t>
            </w:r>
          </w:p>
        </w:tc>
        <w:tc>
          <w:tcPr>
            <w:tcW w:w="27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行政强制</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1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27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8993"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第二十条第（八）项</w:t>
            </w:r>
          </w:p>
        </w:tc>
      </w:tr>
      <w:tr>
        <w:tblPrEx>
          <w:tblCellMar>
            <w:top w:w="0" w:type="dxa"/>
            <w:left w:w="0" w:type="dxa"/>
            <w:bottom w:w="0" w:type="dxa"/>
            <w:right w:w="0" w:type="dxa"/>
          </w:tblCellMar>
        </w:tblPrEx>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信息内容</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上一年项目数量</w:t>
            </w:r>
          </w:p>
        </w:tc>
        <w:tc>
          <w:tcPr>
            <w:tcW w:w="400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本年增</w:t>
            </w:r>
            <w:r>
              <w:rPr>
                <w:rFonts w:ascii="宋体" w:hAnsi="宋体" w:cs="宋体"/>
                <w:color w:val="333333"/>
                <w:kern w:val="0"/>
                <w:sz w:val="20"/>
                <w:szCs w:val="20"/>
              </w:rPr>
              <w:t>/</w:t>
            </w:r>
            <w:r>
              <w:rPr>
                <w:rFonts w:hint="eastAsia" w:ascii="宋体" w:hAnsi="宋体" w:cs="宋体"/>
                <w:color w:val="333333"/>
                <w:kern w:val="0"/>
                <w:sz w:val="20"/>
                <w:szCs w:val="20"/>
              </w:rPr>
              <w:t>减</w:t>
            </w:r>
          </w:p>
        </w:tc>
      </w:tr>
      <w:tr>
        <w:tblPrEx>
          <w:tblCellMar>
            <w:top w:w="0" w:type="dxa"/>
            <w:left w:w="0" w:type="dxa"/>
            <w:bottom w:w="0" w:type="dxa"/>
            <w:right w:w="0" w:type="dxa"/>
          </w:tblCellMar>
        </w:tblPrEx>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行政事业性收费</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400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c>
          <w:tcPr>
            <w:tcW w:w="8993"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第二十条第（九）项</w:t>
            </w:r>
          </w:p>
        </w:tc>
      </w:tr>
      <w:tr>
        <w:tblPrEx>
          <w:tblCellMar>
            <w:top w:w="0" w:type="dxa"/>
            <w:left w:w="0" w:type="dxa"/>
            <w:bottom w:w="0" w:type="dxa"/>
            <w:right w:w="0" w:type="dxa"/>
          </w:tblCellMar>
        </w:tblPrEx>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信息内容</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采购项目数量</w:t>
            </w:r>
          </w:p>
        </w:tc>
        <w:tc>
          <w:tcPr>
            <w:tcW w:w="400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采购总金额</w:t>
            </w:r>
          </w:p>
        </w:tc>
      </w:tr>
      <w:tr>
        <w:tblPrEx>
          <w:tblCellMar>
            <w:top w:w="0" w:type="dxa"/>
            <w:left w:w="0" w:type="dxa"/>
            <w:bottom w:w="0" w:type="dxa"/>
            <w:right w:w="0" w:type="dxa"/>
          </w:tblCellMar>
        </w:tblPrEx>
        <w:tc>
          <w:tcPr>
            <w:tcW w:w="31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政府集中采购</w:t>
            </w:r>
          </w:p>
        </w:tc>
        <w:tc>
          <w:tcPr>
            <w:tcW w:w="18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400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bl>
    <w:p>
      <w:pPr>
        <w:pStyle w:val="3"/>
        <w:keepNext w:val="0"/>
        <w:keepLines w:val="0"/>
        <w:pageBreakBefore w:val="0"/>
        <w:numPr>
          <w:ilvl w:val="0"/>
          <w:numId w:val="0"/>
        </w:numPr>
        <w:wordWrap/>
        <w:overflowPunct/>
        <w:topLinePunct w:val="0"/>
        <w:bidi w:val="0"/>
        <w:spacing w:line="560" w:lineRule="exact"/>
        <w:ind w:firstLine="640" w:firstLineChars="200"/>
        <w:rPr>
          <w:rFonts w:hint="eastAsia" w:ascii="黑体" w:hAnsi="宋体" w:eastAsia="黑体" w:cs="黑体"/>
          <w:sz w:val="32"/>
          <w:szCs w:val="32"/>
          <w:lang w:val="en-US" w:eastAsia="zh-CN"/>
        </w:rPr>
      </w:pPr>
    </w:p>
    <w:p>
      <w:pPr>
        <w:pStyle w:val="3"/>
        <w:keepNext w:val="0"/>
        <w:keepLines w:val="0"/>
        <w:pageBreakBefore w:val="0"/>
        <w:numPr>
          <w:ilvl w:val="0"/>
          <w:numId w:val="0"/>
        </w:numPr>
        <w:wordWrap/>
        <w:overflowPunct/>
        <w:topLinePunct w:val="0"/>
        <w:bidi w:val="0"/>
        <w:spacing w:line="560" w:lineRule="exact"/>
        <w:ind w:firstLine="640" w:firstLineChars="200"/>
        <w:rPr>
          <w:rFonts w:hint="eastAsia" w:ascii="黑体" w:hAnsi="宋体" w:eastAsia="黑体" w:cs="黑体"/>
          <w:sz w:val="32"/>
          <w:szCs w:val="32"/>
          <w:lang w:val="en-US" w:eastAsia="zh-CN"/>
        </w:rPr>
      </w:pPr>
    </w:p>
    <w:p>
      <w:pPr>
        <w:pStyle w:val="3"/>
        <w:keepNext w:val="0"/>
        <w:keepLines w:val="0"/>
        <w:pageBreakBefore w:val="0"/>
        <w:numPr>
          <w:ilvl w:val="0"/>
          <w:numId w:val="0"/>
        </w:numPr>
        <w:wordWrap/>
        <w:overflowPunct/>
        <w:topLinePunct w:val="0"/>
        <w:bidi w:val="0"/>
        <w:spacing w:line="560" w:lineRule="exact"/>
        <w:ind w:firstLine="640" w:firstLineChars="200"/>
        <w:rPr>
          <w:rFonts w:hint="eastAsia" w:ascii="黑体" w:hAnsi="宋体" w:eastAsia="黑体" w:cs="黑体"/>
          <w:sz w:val="32"/>
          <w:szCs w:val="32"/>
          <w:lang w:val="en-US" w:eastAsia="zh-CN"/>
        </w:rPr>
      </w:pPr>
    </w:p>
    <w:p>
      <w:pPr>
        <w:pStyle w:val="3"/>
        <w:keepNext w:val="0"/>
        <w:keepLines w:val="0"/>
        <w:pageBreakBefore w:val="0"/>
        <w:numPr>
          <w:ilvl w:val="0"/>
          <w:numId w:val="0"/>
        </w:numPr>
        <w:wordWrap/>
        <w:overflowPunct/>
        <w:topLinePunct w:val="0"/>
        <w:bidi w:val="0"/>
        <w:spacing w:line="560" w:lineRule="exact"/>
        <w:ind w:firstLine="640" w:firstLineChars="200"/>
        <w:rPr>
          <w:rFonts w:hint="eastAsia" w:ascii="黑体" w:hAnsi="宋体" w:eastAsia="黑体" w:cs="黑体"/>
          <w:sz w:val="32"/>
          <w:szCs w:val="32"/>
          <w:lang w:eastAsia="zh-CN"/>
        </w:rPr>
      </w:pPr>
      <w:r>
        <w:rPr>
          <w:rFonts w:hint="eastAsia" w:ascii="黑体" w:hAnsi="宋体" w:eastAsia="黑体" w:cs="黑体"/>
          <w:sz w:val="32"/>
          <w:szCs w:val="32"/>
          <w:lang w:val="en-US" w:eastAsia="zh-CN"/>
        </w:rPr>
        <w:t>三、</w:t>
      </w:r>
      <w:r>
        <w:rPr>
          <w:rFonts w:hint="eastAsia" w:ascii="黑体" w:hAnsi="宋体" w:eastAsia="黑体" w:cs="黑体"/>
          <w:sz w:val="32"/>
          <w:szCs w:val="32"/>
          <w:lang w:eastAsia="zh-CN"/>
        </w:rPr>
        <w:t>收到和处理政府信息公开申请情况</w:t>
      </w:r>
    </w:p>
    <w:tbl>
      <w:tblPr>
        <w:tblStyle w:val="8"/>
        <w:tblW w:w="9323" w:type="dxa"/>
        <w:tblInd w:w="2" w:type="dxa"/>
        <w:tblLayout w:type="autofit"/>
        <w:tblCellMar>
          <w:top w:w="0" w:type="dxa"/>
          <w:left w:w="0" w:type="dxa"/>
          <w:bottom w:w="0" w:type="dxa"/>
          <w:right w:w="0" w:type="dxa"/>
        </w:tblCellMar>
      </w:tblPr>
      <w:tblGrid>
        <w:gridCol w:w="840"/>
        <w:gridCol w:w="839"/>
        <w:gridCol w:w="1972"/>
        <w:gridCol w:w="797"/>
        <w:gridCol w:w="741"/>
        <w:gridCol w:w="741"/>
        <w:gridCol w:w="797"/>
        <w:gridCol w:w="950"/>
        <w:gridCol w:w="713"/>
        <w:gridCol w:w="933"/>
      </w:tblGrid>
      <w:tr>
        <w:tblPrEx>
          <w:tblCellMar>
            <w:top w:w="0" w:type="dxa"/>
            <w:left w:w="0" w:type="dxa"/>
            <w:bottom w:w="0" w:type="dxa"/>
            <w:right w:w="0" w:type="dxa"/>
          </w:tblCellMar>
        </w:tblPrEx>
        <w:tc>
          <w:tcPr>
            <w:tcW w:w="3651" w:type="dxa"/>
            <w:gridSpan w:val="3"/>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（本列数据的勾稽关系为：第一项加第二项之和，等于第三项加第四项之和）</w:t>
            </w:r>
          </w:p>
        </w:tc>
        <w:tc>
          <w:tcPr>
            <w:tcW w:w="5672" w:type="dxa"/>
            <w:gridSpan w:val="7"/>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申请人情况</w:t>
            </w:r>
          </w:p>
        </w:tc>
      </w:tr>
      <w:tr>
        <w:tblPrEx>
          <w:tblCellMar>
            <w:top w:w="0" w:type="dxa"/>
            <w:left w:w="0" w:type="dxa"/>
            <w:bottom w:w="0" w:type="dxa"/>
            <w:right w:w="0" w:type="dxa"/>
          </w:tblCellMar>
        </w:tblPrEx>
        <w:tc>
          <w:tcPr>
            <w:tcW w:w="0" w:type="auto"/>
            <w:gridSpan w:val="3"/>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79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自然人</w:t>
            </w:r>
          </w:p>
        </w:tc>
        <w:tc>
          <w:tcPr>
            <w:tcW w:w="3942"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法人或其他组织</w:t>
            </w:r>
          </w:p>
        </w:tc>
        <w:tc>
          <w:tcPr>
            <w:tcW w:w="933"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总计</w:t>
            </w:r>
          </w:p>
        </w:tc>
      </w:tr>
      <w:tr>
        <w:tblPrEx>
          <w:tblCellMar>
            <w:top w:w="0" w:type="dxa"/>
            <w:left w:w="0" w:type="dxa"/>
            <w:bottom w:w="0" w:type="dxa"/>
            <w:right w:w="0" w:type="dxa"/>
          </w:tblCellMar>
        </w:tblPrEx>
        <w:tc>
          <w:tcPr>
            <w:tcW w:w="0" w:type="auto"/>
            <w:gridSpan w:val="3"/>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center"/>
              <w:rPr>
                <w:rFonts w:ascii="宋体"/>
                <w:color w:val="333333"/>
                <w:kern w:val="0"/>
                <w:sz w:val="24"/>
                <w:szCs w:val="24"/>
              </w:rPr>
            </w:pP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商业企业</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科研机构</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社会公益组织</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法律服务机构</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其他</w:t>
            </w:r>
          </w:p>
        </w:tc>
        <w:tc>
          <w:tcPr>
            <w:tcW w:w="933"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r>
      <w:tr>
        <w:tc>
          <w:tcPr>
            <w:tcW w:w="3651"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一、本年新收政府信息公开申请数量</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3651"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二、上年结转政府信息公开申请数量</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84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三、本年度办理结果</w:t>
            </w:r>
          </w:p>
        </w:tc>
        <w:tc>
          <w:tcPr>
            <w:tcW w:w="281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楷体" w:hAnsi="楷体" w:eastAsia="楷体" w:cs="楷体"/>
                <w:color w:val="333333"/>
                <w:kern w:val="0"/>
                <w:sz w:val="20"/>
                <w:szCs w:val="20"/>
              </w:rPr>
              <w:t>（一）予以公开</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281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楷体" w:hAnsi="楷体" w:eastAsia="楷体" w:cs="楷体"/>
                <w:color w:val="333333"/>
                <w:kern w:val="0"/>
                <w:sz w:val="20"/>
                <w:szCs w:val="20"/>
              </w:rPr>
              <w:t>（二）部分公开（区分处理的，只计这一情形，不计其他情形）</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839"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楷体" w:hAnsi="楷体" w:eastAsia="楷体" w:cs="楷体"/>
                <w:color w:val="333333"/>
                <w:kern w:val="0"/>
                <w:sz w:val="20"/>
                <w:szCs w:val="20"/>
              </w:rPr>
              <w:t>（三）不予公开</w:t>
            </w: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1.</w:t>
            </w:r>
            <w:r>
              <w:rPr>
                <w:rFonts w:hint="eastAsia" w:ascii="楷体" w:hAnsi="楷体" w:eastAsia="楷体" w:cs="楷体"/>
                <w:color w:val="333333"/>
                <w:kern w:val="0"/>
                <w:sz w:val="20"/>
                <w:szCs w:val="20"/>
              </w:rPr>
              <w:t>属于国家秘密</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2.</w:t>
            </w:r>
            <w:r>
              <w:rPr>
                <w:rFonts w:hint="eastAsia" w:ascii="楷体" w:hAnsi="楷体" w:eastAsia="楷体" w:cs="楷体"/>
                <w:color w:val="333333"/>
                <w:kern w:val="0"/>
                <w:sz w:val="20"/>
                <w:szCs w:val="20"/>
              </w:rPr>
              <w:t>其他法律行政法规禁止公开</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3.</w:t>
            </w:r>
            <w:r>
              <w:rPr>
                <w:rFonts w:hint="eastAsia" w:ascii="楷体" w:hAnsi="楷体" w:eastAsia="楷体" w:cs="楷体"/>
                <w:color w:val="333333"/>
                <w:kern w:val="0"/>
                <w:sz w:val="20"/>
                <w:szCs w:val="20"/>
              </w:rPr>
              <w:t>危及“三安全一稳定”</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4.</w:t>
            </w:r>
            <w:r>
              <w:rPr>
                <w:rFonts w:hint="eastAsia" w:ascii="楷体" w:hAnsi="楷体" w:eastAsia="楷体" w:cs="楷体"/>
                <w:color w:val="333333"/>
                <w:kern w:val="0"/>
                <w:sz w:val="20"/>
                <w:szCs w:val="20"/>
              </w:rPr>
              <w:t>保护第三方合法权益</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5.</w:t>
            </w:r>
            <w:r>
              <w:rPr>
                <w:rFonts w:hint="eastAsia" w:ascii="楷体" w:hAnsi="楷体" w:eastAsia="楷体" w:cs="楷体"/>
                <w:color w:val="333333"/>
                <w:kern w:val="0"/>
                <w:sz w:val="20"/>
                <w:szCs w:val="20"/>
              </w:rPr>
              <w:t>属于三类内部事务信息</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6.</w:t>
            </w:r>
            <w:r>
              <w:rPr>
                <w:rFonts w:hint="eastAsia" w:ascii="楷体" w:hAnsi="楷体" w:eastAsia="楷体" w:cs="楷体"/>
                <w:color w:val="333333"/>
                <w:kern w:val="0"/>
                <w:sz w:val="20"/>
                <w:szCs w:val="20"/>
              </w:rPr>
              <w:t>属于四类过程性信息</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7.</w:t>
            </w:r>
            <w:r>
              <w:rPr>
                <w:rFonts w:hint="eastAsia" w:ascii="楷体" w:hAnsi="楷体" w:eastAsia="楷体" w:cs="楷体"/>
                <w:color w:val="333333"/>
                <w:kern w:val="0"/>
                <w:sz w:val="20"/>
                <w:szCs w:val="20"/>
              </w:rPr>
              <w:t>属于行政执法案卷</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8.</w:t>
            </w:r>
            <w:r>
              <w:rPr>
                <w:rFonts w:hint="eastAsia" w:ascii="楷体" w:hAnsi="楷体" w:eastAsia="楷体" w:cs="楷体"/>
                <w:color w:val="333333"/>
                <w:kern w:val="0"/>
                <w:sz w:val="20"/>
                <w:szCs w:val="20"/>
              </w:rPr>
              <w:t>属于行政查询事项</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839"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楷体" w:hAnsi="楷体" w:eastAsia="楷体" w:cs="楷体"/>
                <w:color w:val="333333"/>
                <w:kern w:val="0"/>
                <w:sz w:val="20"/>
                <w:szCs w:val="20"/>
              </w:rPr>
              <w:t>（四）无法提供</w:t>
            </w: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1.</w:t>
            </w:r>
            <w:r>
              <w:rPr>
                <w:rFonts w:hint="eastAsia" w:ascii="楷体" w:hAnsi="楷体" w:eastAsia="楷体" w:cs="楷体"/>
                <w:color w:val="333333"/>
                <w:kern w:val="0"/>
                <w:sz w:val="20"/>
                <w:szCs w:val="20"/>
              </w:rPr>
              <w:t>本机关不掌握相关政府信息</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Calibri" w:hAnsi="Calibri" w:cs="Calibri"/>
                <w:color w:val="333333"/>
                <w:kern w:val="0"/>
                <w:sz w:val="20"/>
                <w:szCs w:val="20"/>
              </w:rPr>
              <w:t> </w:t>
            </w: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Calibri" w:hAnsi="Calibri" w:cs="Calibri"/>
                <w:color w:val="333333"/>
                <w:kern w:val="0"/>
                <w:sz w:val="20"/>
                <w:szCs w:val="20"/>
              </w:rPr>
              <w:t> </w:t>
            </w:r>
            <w:r>
              <w:rPr>
                <w:rFonts w:ascii="宋体" w:cs="宋体"/>
                <w:color w:val="333333"/>
                <w:kern w:val="0"/>
                <w:sz w:val="20"/>
                <w:szCs w:val="20"/>
              </w:rPr>
              <w:t>0</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Calibri" w:hAnsi="Calibri" w:cs="Calibri"/>
                <w:color w:val="333333"/>
                <w:kern w:val="0"/>
                <w:sz w:val="20"/>
                <w:szCs w:val="20"/>
              </w:rPr>
              <w:t> </w:t>
            </w:r>
            <w:r>
              <w:rPr>
                <w:rFonts w:ascii="宋体" w:cs="宋体"/>
                <w:color w:val="333333"/>
                <w:kern w:val="0"/>
                <w:sz w:val="20"/>
                <w:szCs w:val="20"/>
              </w:rPr>
              <w:t>0</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Calibri" w:hAnsi="Calibri" w:cs="Calibri"/>
                <w:color w:val="333333"/>
                <w:kern w:val="0"/>
                <w:sz w:val="20"/>
                <w:szCs w:val="20"/>
              </w:rPr>
              <w:t> </w:t>
            </w:r>
            <w:r>
              <w:rPr>
                <w:rFonts w:ascii="宋体" w:cs="宋体"/>
                <w:color w:val="333333"/>
                <w:kern w:val="0"/>
                <w:sz w:val="20"/>
                <w:szCs w:val="20"/>
              </w:rPr>
              <w:t>0</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2.</w:t>
            </w:r>
            <w:r>
              <w:rPr>
                <w:rFonts w:hint="eastAsia" w:ascii="楷体" w:hAnsi="楷体" w:eastAsia="楷体" w:cs="楷体"/>
                <w:color w:val="333333"/>
                <w:kern w:val="0"/>
                <w:sz w:val="20"/>
                <w:szCs w:val="20"/>
              </w:rPr>
              <w:t>没有现成信息需要另行制作</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rPr>
          <w:trHeight w:val="690"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3.</w:t>
            </w:r>
            <w:r>
              <w:rPr>
                <w:rFonts w:hint="eastAsia" w:ascii="楷体" w:hAnsi="楷体" w:eastAsia="楷体" w:cs="楷体"/>
                <w:color w:val="333333"/>
                <w:kern w:val="0"/>
                <w:sz w:val="20"/>
                <w:szCs w:val="20"/>
              </w:rPr>
              <w:t>补正后申请内容仍不明确</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839"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楷体" w:hAnsi="楷体" w:eastAsia="楷体" w:cs="楷体"/>
                <w:color w:val="333333"/>
                <w:kern w:val="0"/>
                <w:sz w:val="20"/>
                <w:szCs w:val="20"/>
              </w:rPr>
              <w:t>（五）不予处理</w:t>
            </w: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1.</w:t>
            </w:r>
            <w:r>
              <w:rPr>
                <w:rFonts w:hint="eastAsia" w:ascii="楷体" w:hAnsi="楷体" w:eastAsia="楷体" w:cs="楷体"/>
                <w:color w:val="333333"/>
                <w:kern w:val="0"/>
                <w:sz w:val="20"/>
                <w:szCs w:val="20"/>
              </w:rPr>
              <w:t>信访举报投诉类申请</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2.</w:t>
            </w:r>
            <w:r>
              <w:rPr>
                <w:rFonts w:hint="eastAsia" w:ascii="楷体" w:hAnsi="楷体" w:eastAsia="楷体" w:cs="楷体"/>
                <w:color w:val="333333"/>
                <w:kern w:val="0"/>
                <w:sz w:val="20"/>
                <w:szCs w:val="20"/>
              </w:rPr>
              <w:t>重复申请</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3.</w:t>
            </w:r>
            <w:r>
              <w:rPr>
                <w:rFonts w:hint="eastAsia" w:ascii="楷体" w:hAnsi="楷体" w:eastAsia="楷体" w:cs="楷体"/>
                <w:color w:val="333333"/>
                <w:kern w:val="0"/>
                <w:sz w:val="20"/>
                <w:szCs w:val="20"/>
              </w:rPr>
              <w:t>要求提供公开出版物</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4.</w:t>
            </w:r>
            <w:r>
              <w:rPr>
                <w:rFonts w:hint="eastAsia" w:ascii="楷体" w:hAnsi="楷体" w:eastAsia="楷体" w:cs="楷体"/>
                <w:color w:val="333333"/>
                <w:kern w:val="0"/>
                <w:sz w:val="20"/>
                <w:szCs w:val="20"/>
              </w:rPr>
              <w:t>无正当理由大量反复申请</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19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ascii="楷体" w:hAnsi="楷体" w:eastAsia="楷体" w:cs="楷体"/>
                <w:color w:val="333333"/>
                <w:kern w:val="0"/>
                <w:sz w:val="20"/>
                <w:szCs w:val="20"/>
              </w:rPr>
              <w:t>5.</w:t>
            </w:r>
            <w:r>
              <w:rPr>
                <w:rFonts w:hint="eastAsia" w:ascii="楷体" w:hAnsi="楷体" w:eastAsia="楷体" w:cs="楷体"/>
                <w:color w:val="333333"/>
                <w:kern w:val="0"/>
                <w:sz w:val="20"/>
                <w:szCs w:val="20"/>
              </w:rPr>
              <w:t>要求行政机关确认或重新出具已获取信息</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281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楷体" w:hAnsi="楷体" w:eastAsia="楷体" w:cs="楷体"/>
                <w:color w:val="333333"/>
                <w:kern w:val="0"/>
                <w:sz w:val="20"/>
                <w:szCs w:val="20"/>
              </w:rPr>
              <w:t>（六）其他处理</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281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楷体" w:hAnsi="楷体" w:eastAsia="楷体" w:cs="楷体"/>
                <w:color w:val="333333"/>
                <w:kern w:val="0"/>
                <w:sz w:val="20"/>
                <w:szCs w:val="20"/>
              </w:rPr>
              <w:t>（七）总计</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r>
        <w:tblPrEx>
          <w:tblCellMar>
            <w:top w:w="0" w:type="dxa"/>
            <w:left w:w="0" w:type="dxa"/>
            <w:bottom w:w="0" w:type="dxa"/>
            <w:right w:w="0" w:type="dxa"/>
          </w:tblCellMar>
        </w:tblPrEx>
        <w:tc>
          <w:tcPr>
            <w:tcW w:w="3651"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hint="eastAsia" w:ascii="宋体" w:hAnsi="宋体" w:cs="宋体"/>
                <w:color w:val="333333"/>
                <w:kern w:val="0"/>
                <w:sz w:val="20"/>
                <w:szCs w:val="20"/>
              </w:rPr>
              <w:t>四、结转下年度继续办理</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4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71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r>
              <w:rPr>
                <w:rFonts w:ascii="Calibri" w:hAnsi="Calibri" w:cs="Calibri"/>
                <w:color w:val="333333"/>
                <w:kern w:val="0"/>
                <w:sz w:val="20"/>
                <w:szCs w:val="20"/>
              </w:rPr>
              <w:t> </w:t>
            </w:r>
          </w:p>
        </w:tc>
        <w:tc>
          <w:tcPr>
            <w:tcW w:w="93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r>
    </w:tbl>
    <w:p>
      <w:pPr>
        <w:pStyle w:val="3"/>
        <w:keepNext w:val="0"/>
        <w:keepLines w:val="0"/>
        <w:pageBreakBefore w:val="0"/>
        <w:numPr>
          <w:ilvl w:val="0"/>
          <w:numId w:val="0"/>
        </w:numPr>
        <w:wordWrap/>
        <w:overflowPunct/>
        <w:topLinePunct w:val="0"/>
        <w:bidi w:val="0"/>
        <w:spacing w:line="560" w:lineRule="exact"/>
        <w:ind w:firstLine="640" w:firstLineChars="200"/>
        <w:rPr>
          <w:rFonts w:hint="eastAsia" w:ascii="黑体" w:hAnsi="宋体" w:eastAsia="黑体" w:cs="黑体"/>
          <w:sz w:val="32"/>
          <w:szCs w:val="32"/>
          <w:lang w:eastAsia="zh-CN"/>
        </w:rPr>
      </w:pPr>
      <w:r>
        <w:rPr>
          <w:rFonts w:hint="eastAsia" w:ascii="黑体" w:hAnsi="宋体" w:eastAsia="黑体" w:cs="黑体"/>
          <w:sz w:val="32"/>
          <w:szCs w:val="32"/>
          <w:lang w:val="en-US" w:eastAsia="zh-CN"/>
        </w:rPr>
        <w:t>四、</w:t>
      </w:r>
      <w:r>
        <w:rPr>
          <w:rFonts w:hint="eastAsia" w:ascii="黑体" w:hAnsi="宋体" w:eastAsia="黑体" w:cs="黑体"/>
          <w:sz w:val="32"/>
          <w:szCs w:val="32"/>
          <w:lang w:eastAsia="zh-CN"/>
        </w:rPr>
        <w:t xml:space="preserve">政府信息公开行政复议、行政诉讼情况 </w:t>
      </w:r>
    </w:p>
    <w:tbl>
      <w:tblPr>
        <w:tblStyle w:val="8"/>
        <w:tblW w:w="9600" w:type="dxa"/>
        <w:tblInd w:w="2" w:type="dxa"/>
        <w:tblLayout w:type="autofit"/>
        <w:tblCellMar>
          <w:top w:w="0" w:type="dxa"/>
          <w:left w:w="0" w:type="dxa"/>
          <w:bottom w:w="0" w:type="dxa"/>
          <w:right w:w="0" w:type="dxa"/>
        </w:tblCellMar>
      </w:tblPr>
      <w:tblGrid>
        <w:gridCol w:w="640"/>
        <w:gridCol w:w="640"/>
        <w:gridCol w:w="640"/>
        <w:gridCol w:w="640"/>
        <w:gridCol w:w="640"/>
        <w:gridCol w:w="640"/>
        <w:gridCol w:w="640"/>
        <w:gridCol w:w="640"/>
        <w:gridCol w:w="640"/>
        <w:gridCol w:w="640"/>
        <w:gridCol w:w="640"/>
        <w:gridCol w:w="640"/>
        <w:gridCol w:w="640"/>
        <w:gridCol w:w="640"/>
        <w:gridCol w:w="640"/>
      </w:tblGrid>
      <w:tr>
        <w:tblPrEx>
          <w:tblCellMar>
            <w:top w:w="0" w:type="dxa"/>
            <w:left w:w="0" w:type="dxa"/>
            <w:bottom w:w="0" w:type="dxa"/>
            <w:right w:w="0" w:type="dxa"/>
          </w:tblCellMar>
        </w:tblPrEx>
        <w:tc>
          <w:tcPr>
            <w:tcW w:w="320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行政复议</w:t>
            </w:r>
          </w:p>
        </w:tc>
        <w:tc>
          <w:tcPr>
            <w:tcW w:w="6400" w:type="dxa"/>
            <w:gridSpan w:val="10"/>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行政诉讼</w:t>
            </w:r>
          </w:p>
        </w:tc>
      </w:tr>
      <w:tr>
        <w:tblPrEx>
          <w:tblCellMar>
            <w:top w:w="0" w:type="dxa"/>
            <w:left w:w="0" w:type="dxa"/>
            <w:bottom w:w="0" w:type="dxa"/>
            <w:right w:w="0" w:type="dxa"/>
          </w:tblCellMar>
        </w:tblPrEx>
        <w:tc>
          <w:tcPr>
            <w:tcW w:w="64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结果维持</w:t>
            </w:r>
          </w:p>
        </w:tc>
        <w:tc>
          <w:tcPr>
            <w:tcW w:w="64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结果纠正</w:t>
            </w:r>
          </w:p>
        </w:tc>
        <w:tc>
          <w:tcPr>
            <w:tcW w:w="64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其他结果</w:t>
            </w:r>
          </w:p>
        </w:tc>
        <w:tc>
          <w:tcPr>
            <w:tcW w:w="64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尚未审结</w:t>
            </w:r>
          </w:p>
        </w:tc>
        <w:tc>
          <w:tcPr>
            <w:tcW w:w="64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总计</w:t>
            </w:r>
          </w:p>
        </w:tc>
        <w:tc>
          <w:tcPr>
            <w:tcW w:w="320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未经复议直接起诉</w:t>
            </w:r>
          </w:p>
        </w:tc>
        <w:tc>
          <w:tcPr>
            <w:tcW w:w="320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jc w:val="center"/>
              <w:rPr>
                <w:rFonts w:ascii="宋体"/>
                <w:color w:val="333333"/>
                <w:kern w:val="0"/>
                <w:sz w:val="24"/>
                <w:szCs w:val="24"/>
              </w:rPr>
            </w:pPr>
            <w:r>
              <w:rPr>
                <w:rFonts w:hint="eastAsia" w:ascii="宋体" w:hAnsi="宋体" w:cs="宋体"/>
                <w:color w:val="333333"/>
                <w:kern w:val="0"/>
                <w:sz w:val="20"/>
                <w:szCs w:val="20"/>
              </w:rPr>
              <w:t>复议后起诉</w:t>
            </w:r>
          </w:p>
        </w:tc>
      </w:tr>
      <w:tr>
        <w:tblPrEx>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jc w:val="left"/>
              <w:rPr>
                <w:rFonts w:ascii="宋体"/>
                <w:color w:val="333333"/>
                <w:kern w:val="0"/>
                <w:sz w:val="24"/>
                <w:szCs w:val="24"/>
              </w:rPr>
            </w:pP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结果维持</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结果纠正</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其他结果</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尚未审结</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总计</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结果维持</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结果纠正</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其他结果</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尚未审结</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rPr>
                <w:rFonts w:ascii="宋体"/>
                <w:color w:val="333333"/>
                <w:kern w:val="0"/>
                <w:sz w:val="24"/>
                <w:szCs w:val="24"/>
              </w:rPr>
            </w:pPr>
            <w:r>
              <w:rPr>
                <w:rFonts w:hint="eastAsia" w:ascii="宋体" w:hAnsi="宋体" w:cs="宋体"/>
                <w:color w:val="333333"/>
                <w:kern w:val="0"/>
                <w:sz w:val="20"/>
                <w:szCs w:val="20"/>
              </w:rPr>
              <w:t>总计</w:t>
            </w:r>
          </w:p>
        </w:tc>
      </w:tr>
      <w:tr>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olor w:val="333333"/>
                <w:kern w:val="0"/>
                <w:sz w:val="24"/>
                <w:szCs w:val="24"/>
              </w:rPr>
            </w:pPr>
            <w:r>
              <w:rPr>
                <w:rFonts w:ascii="宋体" w:cs="宋体"/>
                <w:color w:val="333333"/>
                <w:kern w:val="0"/>
                <w:sz w:val="20"/>
                <w:szCs w:val="20"/>
              </w:rPr>
              <w:t>0</w:t>
            </w:r>
          </w:p>
        </w:tc>
        <w:tc>
          <w:tcPr>
            <w:tcW w:w="6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wordWrap/>
              <w:overflowPunct/>
              <w:topLinePunct w:val="0"/>
              <w:bidi w:val="0"/>
              <w:spacing w:line="580" w:lineRule="exact"/>
              <w:ind w:left="0" w:leftChars="0" w:firstLine="420"/>
              <w:rPr>
                <w:rFonts w:ascii="宋体" w:cs="宋体"/>
                <w:color w:val="333333"/>
                <w:kern w:val="0"/>
                <w:sz w:val="24"/>
                <w:szCs w:val="24"/>
              </w:rPr>
            </w:pPr>
            <w:r>
              <w:rPr>
                <w:rFonts w:ascii="宋体" w:cs="宋体"/>
                <w:color w:val="333333"/>
                <w:kern w:val="0"/>
                <w:sz w:val="24"/>
                <w:szCs w:val="24"/>
              </w:rPr>
              <w:t>0</w:t>
            </w:r>
          </w:p>
        </w:tc>
      </w:tr>
    </w:tbl>
    <w:p>
      <w:pPr>
        <w:pStyle w:val="3"/>
        <w:keepNext w:val="0"/>
        <w:keepLines w:val="0"/>
        <w:pageBreakBefore w:val="0"/>
        <w:numPr>
          <w:ilvl w:val="0"/>
          <w:numId w:val="0"/>
        </w:numPr>
        <w:wordWrap/>
        <w:overflowPunct/>
        <w:topLinePunct w:val="0"/>
        <w:bidi w:val="0"/>
        <w:spacing w:line="550" w:lineRule="exact"/>
        <w:ind w:firstLine="640" w:firstLineChars="200"/>
        <w:rPr>
          <w:rFonts w:hint="eastAsia" w:ascii="黑体" w:hAnsi="宋体" w:eastAsia="黑体" w:cs="黑体"/>
          <w:sz w:val="32"/>
          <w:szCs w:val="32"/>
          <w:lang w:eastAsia="zh-CN"/>
        </w:rPr>
      </w:pPr>
      <w:r>
        <w:rPr>
          <w:rFonts w:hint="eastAsia" w:ascii="黑体" w:hAnsi="宋体" w:eastAsia="黑体" w:cs="黑体"/>
          <w:sz w:val="32"/>
          <w:szCs w:val="32"/>
          <w:lang w:val="en-US" w:eastAsia="zh-CN"/>
        </w:rPr>
        <w:t>五</w:t>
      </w:r>
      <w:r>
        <w:rPr>
          <w:rFonts w:hint="eastAsia" w:ascii="黑体" w:hAnsi="宋体" w:eastAsia="黑体" w:cs="黑体"/>
          <w:sz w:val="32"/>
          <w:szCs w:val="32"/>
          <w:lang w:eastAsia="zh-CN"/>
        </w:rPr>
        <w:t>、存在的主要问题及改进措施</w:t>
      </w:r>
    </w:p>
    <w:p>
      <w:pPr>
        <w:keepNext w:val="0"/>
        <w:keepLines w:val="0"/>
        <w:pageBreakBefore w:val="0"/>
        <w:widowControl/>
        <w:kinsoku w:val="0"/>
        <w:wordWrap/>
        <w:overflowPunct/>
        <w:topLinePunct w:val="0"/>
        <w:autoSpaceDE w:val="0"/>
        <w:autoSpaceDN w:val="0"/>
        <w:bidi w:val="0"/>
        <w:adjustRightInd w:val="0"/>
        <w:snapToGrid w:val="0"/>
        <w:spacing w:line="550" w:lineRule="exact"/>
        <w:ind w:left="0" w:leftChars="0"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我局在政府信息公开工作中严格落实《中华人民共和国政府信息公开条例》要求，围绕民政重点工作有序推进，取得了一定成效，但对照公众日益增长的信息需求和更高标准的工作要求，仍存在一些不足：一是信息公开的深度不足，部分重点工作的细节性、过程性信息公开不够充分，对政策解读的通俗性、针对性有待加强；二是工作人员的信息公开专业能力有待提升，对公开范围、公开时限、政策解读技巧等方面的把握仍需加强。</w:t>
      </w:r>
    </w:p>
    <w:p>
      <w:pPr>
        <w:keepNext w:val="0"/>
        <w:keepLines w:val="0"/>
        <w:pageBreakBefore w:val="0"/>
        <w:widowControl/>
        <w:kinsoku w:val="0"/>
        <w:wordWrap/>
        <w:overflowPunct/>
        <w:topLinePunct w:val="0"/>
        <w:autoSpaceDE w:val="0"/>
        <w:autoSpaceDN w:val="0"/>
        <w:bidi w:val="0"/>
        <w:adjustRightInd w:val="0"/>
        <w:snapToGrid w:val="0"/>
        <w:spacing w:line="550" w:lineRule="exact"/>
        <w:ind w:left="0" w:leftChars="0"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上述问题，2026年我局将采取针对性措施全力改进，推动政府信息公开工作提质增效：一是深化公开内容建设，聚焦养老服务三级网络、社会救助精准帮扶等重点工作，增加政策解读的案例化、通俗化表达，同步公开政策落实成效数据，提升信息实用性；二是强化能力建设，将《中华人民共和国政府信息公开条例》及信息公开业务培训纳入年度培训计划，通过专题讲座、案例研讨等形式，提升工作人员公开意识和业务水平；建立信息公开审核把关机制，确保公开信息准确规范。</w:t>
      </w:r>
    </w:p>
    <w:p>
      <w:pPr>
        <w:pStyle w:val="3"/>
        <w:keepNext w:val="0"/>
        <w:keepLines w:val="0"/>
        <w:pageBreakBefore w:val="0"/>
        <w:numPr>
          <w:ilvl w:val="0"/>
          <w:numId w:val="0"/>
        </w:numPr>
        <w:wordWrap/>
        <w:overflowPunct/>
        <w:topLinePunct w:val="0"/>
        <w:bidi w:val="0"/>
        <w:spacing w:line="55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eastAsia="zh-CN"/>
        </w:rPr>
        <w:t>六、</w:t>
      </w:r>
      <w:r>
        <w:rPr>
          <w:rFonts w:hint="eastAsia" w:ascii="黑体" w:hAnsi="宋体" w:eastAsia="黑体" w:cs="黑体"/>
          <w:sz w:val="32"/>
          <w:szCs w:val="32"/>
        </w:rPr>
        <w:t>其他需要报告的事项</w:t>
      </w:r>
    </w:p>
    <w:p>
      <w:pPr>
        <w:keepNext w:val="0"/>
        <w:keepLines w:val="0"/>
        <w:pageBreakBefore w:val="0"/>
        <w:widowControl/>
        <w:kinsoku w:val="0"/>
        <w:wordWrap/>
        <w:overflowPunct/>
        <w:topLinePunct w:val="0"/>
        <w:autoSpaceDE w:val="0"/>
        <w:autoSpaceDN w:val="0"/>
        <w:bidi w:val="0"/>
        <w:adjustRightInd w:val="0"/>
        <w:snapToGrid w:val="0"/>
        <w:spacing w:line="550" w:lineRule="exact"/>
        <w:ind w:left="0" w:leftChars="0" w:right="0"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无其他需要报告的事项。</w:t>
      </w:r>
    </w:p>
    <w:p>
      <w:pPr>
        <w:keepNext w:val="0"/>
        <w:keepLines w:val="0"/>
        <w:pageBreakBefore w:val="0"/>
        <w:wordWrap/>
        <w:overflowPunct/>
        <w:topLinePunct w:val="0"/>
        <w:bidi w:val="0"/>
        <w:spacing w:line="560" w:lineRule="exact"/>
        <w:ind w:left="0" w:leftChars="0"/>
        <w:rPr>
          <w:b/>
          <w:bCs/>
          <w:sz w:val="32"/>
          <w:szCs w:val="32"/>
        </w:rPr>
      </w:pPr>
    </w:p>
    <w:sectPr>
      <w:footerReference r:id="rId3" w:type="default"/>
      <w:pgSz w:w="11906" w:h="16838"/>
      <w:pgMar w:top="1440" w:right="1800" w:bottom="1440" w:left="1800"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WFjMDkxMWNjZDJlZmU2Nzk4N2UyOTE5OWRjNzUifQ=="/>
  </w:docVars>
  <w:rsids>
    <w:rsidRoot w:val="003A39BA"/>
    <w:rsid w:val="00207852"/>
    <w:rsid w:val="0028112D"/>
    <w:rsid w:val="003A39BA"/>
    <w:rsid w:val="0057495E"/>
    <w:rsid w:val="007A3A46"/>
    <w:rsid w:val="007E562A"/>
    <w:rsid w:val="00816543"/>
    <w:rsid w:val="00951E02"/>
    <w:rsid w:val="00B74FF3"/>
    <w:rsid w:val="00E120ED"/>
    <w:rsid w:val="00F0326A"/>
    <w:rsid w:val="014A2DD9"/>
    <w:rsid w:val="01907957"/>
    <w:rsid w:val="02900CBF"/>
    <w:rsid w:val="02D52B76"/>
    <w:rsid w:val="03FB660C"/>
    <w:rsid w:val="055A55B4"/>
    <w:rsid w:val="06141C07"/>
    <w:rsid w:val="06532730"/>
    <w:rsid w:val="06976AC0"/>
    <w:rsid w:val="07245E7A"/>
    <w:rsid w:val="07AB0349"/>
    <w:rsid w:val="07CF7529"/>
    <w:rsid w:val="07D4164E"/>
    <w:rsid w:val="092A7C8A"/>
    <w:rsid w:val="094C19A7"/>
    <w:rsid w:val="09B25AE8"/>
    <w:rsid w:val="0ADF4592"/>
    <w:rsid w:val="0C7C5591"/>
    <w:rsid w:val="0D3F57BC"/>
    <w:rsid w:val="0DA815B3"/>
    <w:rsid w:val="0E903B93"/>
    <w:rsid w:val="0F3B49DB"/>
    <w:rsid w:val="0F8C0A60"/>
    <w:rsid w:val="0FAC6BC0"/>
    <w:rsid w:val="107439CE"/>
    <w:rsid w:val="10DE52EC"/>
    <w:rsid w:val="11A71B81"/>
    <w:rsid w:val="141A488D"/>
    <w:rsid w:val="14465682"/>
    <w:rsid w:val="14CF38C9"/>
    <w:rsid w:val="14D902A4"/>
    <w:rsid w:val="153E27FD"/>
    <w:rsid w:val="16DF12A1"/>
    <w:rsid w:val="16FE2244"/>
    <w:rsid w:val="18477C1A"/>
    <w:rsid w:val="18CB25F9"/>
    <w:rsid w:val="197E766C"/>
    <w:rsid w:val="19D43730"/>
    <w:rsid w:val="1A8B6935"/>
    <w:rsid w:val="1BC51582"/>
    <w:rsid w:val="1BEA0FE8"/>
    <w:rsid w:val="1C202C5C"/>
    <w:rsid w:val="1C7A05BE"/>
    <w:rsid w:val="1D3459DA"/>
    <w:rsid w:val="1EDF0BAD"/>
    <w:rsid w:val="20346CD6"/>
    <w:rsid w:val="208C266E"/>
    <w:rsid w:val="209C04D8"/>
    <w:rsid w:val="212343F7"/>
    <w:rsid w:val="2197576F"/>
    <w:rsid w:val="21DA1AFF"/>
    <w:rsid w:val="236B6EB3"/>
    <w:rsid w:val="240D1D18"/>
    <w:rsid w:val="24635DDC"/>
    <w:rsid w:val="267A11BB"/>
    <w:rsid w:val="270F5DA7"/>
    <w:rsid w:val="27930786"/>
    <w:rsid w:val="27EC7E96"/>
    <w:rsid w:val="29001E4B"/>
    <w:rsid w:val="2AB0164F"/>
    <w:rsid w:val="2AE80DE9"/>
    <w:rsid w:val="2B397896"/>
    <w:rsid w:val="2BD55554"/>
    <w:rsid w:val="2C5219A4"/>
    <w:rsid w:val="2CA62D0A"/>
    <w:rsid w:val="2CFE8645"/>
    <w:rsid w:val="2D3D7559"/>
    <w:rsid w:val="2E312AA7"/>
    <w:rsid w:val="2EDD806C"/>
    <w:rsid w:val="2F1D2677"/>
    <w:rsid w:val="2F762E67"/>
    <w:rsid w:val="2FD73822"/>
    <w:rsid w:val="2FEDEF7C"/>
    <w:rsid w:val="2FEEC6C3"/>
    <w:rsid w:val="314A79A2"/>
    <w:rsid w:val="31F664E1"/>
    <w:rsid w:val="32E20814"/>
    <w:rsid w:val="34BD5094"/>
    <w:rsid w:val="34C62E5D"/>
    <w:rsid w:val="34FD58CF"/>
    <w:rsid w:val="3679323D"/>
    <w:rsid w:val="367E0853"/>
    <w:rsid w:val="36BD5820"/>
    <w:rsid w:val="36FB00F6"/>
    <w:rsid w:val="37865C12"/>
    <w:rsid w:val="37B87D95"/>
    <w:rsid w:val="37F27471"/>
    <w:rsid w:val="38726196"/>
    <w:rsid w:val="387B329C"/>
    <w:rsid w:val="38AC78FA"/>
    <w:rsid w:val="38BE762D"/>
    <w:rsid w:val="39C40C73"/>
    <w:rsid w:val="3A154929"/>
    <w:rsid w:val="3AA47B08"/>
    <w:rsid w:val="3AB6680E"/>
    <w:rsid w:val="3ACD1DA9"/>
    <w:rsid w:val="3B781D15"/>
    <w:rsid w:val="3C3F0A85"/>
    <w:rsid w:val="3C6A5B02"/>
    <w:rsid w:val="3E435054"/>
    <w:rsid w:val="3EAD3FF2"/>
    <w:rsid w:val="3FFFB06D"/>
    <w:rsid w:val="411B561D"/>
    <w:rsid w:val="4253528A"/>
    <w:rsid w:val="44262384"/>
    <w:rsid w:val="4487121B"/>
    <w:rsid w:val="44D31C9D"/>
    <w:rsid w:val="44E1092B"/>
    <w:rsid w:val="453749EF"/>
    <w:rsid w:val="45A33E32"/>
    <w:rsid w:val="45F873D1"/>
    <w:rsid w:val="45FB5A1D"/>
    <w:rsid w:val="4612695D"/>
    <w:rsid w:val="46E6047B"/>
    <w:rsid w:val="47095F17"/>
    <w:rsid w:val="47F170D7"/>
    <w:rsid w:val="481608EC"/>
    <w:rsid w:val="49B35039"/>
    <w:rsid w:val="49FC7FB5"/>
    <w:rsid w:val="4A121587"/>
    <w:rsid w:val="4B7D0C82"/>
    <w:rsid w:val="4BE8259F"/>
    <w:rsid w:val="4D2E66D8"/>
    <w:rsid w:val="4E555EE6"/>
    <w:rsid w:val="4ECC61A8"/>
    <w:rsid w:val="4EE5726A"/>
    <w:rsid w:val="4FB16006"/>
    <w:rsid w:val="4FB2C7F4"/>
    <w:rsid w:val="521A547C"/>
    <w:rsid w:val="52750905"/>
    <w:rsid w:val="52A511EA"/>
    <w:rsid w:val="536A41E2"/>
    <w:rsid w:val="53BB67EB"/>
    <w:rsid w:val="53E35FEF"/>
    <w:rsid w:val="53F817ED"/>
    <w:rsid w:val="54411F70"/>
    <w:rsid w:val="553E76D4"/>
    <w:rsid w:val="557FF375"/>
    <w:rsid w:val="55D3451A"/>
    <w:rsid w:val="569E667C"/>
    <w:rsid w:val="571F6D7F"/>
    <w:rsid w:val="57CBF4DB"/>
    <w:rsid w:val="5934731C"/>
    <w:rsid w:val="599124C8"/>
    <w:rsid w:val="59B166C6"/>
    <w:rsid w:val="5A160C1F"/>
    <w:rsid w:val="5A7B70D3"/>
    <w:rsid w:val="5B2F1F99"/>
    <w:rsid w:val="5B5E462C"/>
    <w:rsid w:val="5CEF451C"/>
    <w:rsid w:val="5D9702C9"/>
    <w:rsid w:val="5DE74E3C"/>
    <w:rsid w:val="5E5F7DDE"/>
    <w:rsid w:val="5E663FC2"/>
    <w:rsid w:val="5EED74AE"/>
    <w:rsid w:val="5EF59586"/>
    <w:rsid w:val="5F176830"/>
    <w:rsid w:val="5FDE3F8D"/>
    <w:rsid w:val="5FF515B0"/>
    <w:rsid w:val="5FFF41C0"/>
    <w:rsid w:val="600A4D82"/>
    <w:rsid w:val="60432042"/>
    <w:rsid w:val="60AA0313"/>
    <w:rsid w:val="61DA69D6"/>
    <w:rsid w:val="61EB2991"/>
    <w:rsid w:val="623FC5F1"/>
    <w:rsid w:val="62487DE4"/>
    <w:rsid w:val="627E6DF6"/>
    <w:rsid w:val="64195594"/>
    <w:rsid w:val="666B70B1"/>
    <w:rsid w:val="673646AF"/>
    <w:rsid w:val="67386679"/>
    <w:rsid w:val="67A7735B"/>
    <w:rsid w:val="67FE7E3A"/>
    <w:rsid w:val="67FF0CE7"/>
    <w:rsid w:val="68007A8F"/>
    <w:rsid w:val="69B31FE7"/>
    <w:rsid w:val="69FD6914"/>
    <w:rsid w:val="6BA936A1"/>
    <w:rsid w:val="6BDE3C69"/>
    <w:rsid w:val="6CC65820"/>
    <w:rsid w:val="6D2B458A"/>
    <w:rsid w:val="6D7B1EB5"/>
    <w:rsid w:val="6DBE1ACB"/>
    <w:rsid w:val="6DF676F0"/>
    <w:rsid w:val="6DF6B966"/>
    <w:rsid w:val="6E5A5250"/>
    <w:rsid w:val="6EA463A2"/>
    <w:rsid w:val="6EFF88BF"/>
    <w:rsid w:val="6F4FC2F5"/>
    <w:rsid w:val="6FEB7BCD"/>
    <w:rsid w:val="6FF7C7D0"/>
    <w:rsid w:val="70293003"/>
    <w:rsid w:val="707F0E75"/>
    <w:rsid w:val="70BA1EAD"/>
    <w:rsid w:val="7141437C"/>
    <w:rsid w:val="71BFA04E"/>
    <w:rsid w:val="72E256EB"/>
    <w:rsid w:val="73217FC1"/>
    <w:rsid w:val="73A40BF2"/>
    <w:rsid w:val="73E8BD47"/>
    <w:rsid w:val="741A2BD2"/>
    <w:rsid w:val="748278F9"/>
    <w:rsid w:val="753F34A9"/>
    <w:rsid w:val="75BA1EDC"/>
    <w:rsid w:val="76FC1808"/>
    <w:rsid w:val="771F0CBB"/>
    <w:rsid w:val="777FE549"/>
    <w:rsid w:val="794669D3"/>
    <w:rsid w:val="795A422D"/>
    <w:rsid w:val="79A27982"/>
    <w:rsid w:val="79B25E17"/>
    <w:rsid w:val="79C00652"/>
    <w:rsid w:val="79D7587D"/>
    <w:rsid w:val="7AE53FCA"/>
    <w:rsid w:val="7AFD64E8"/>
    <w:rsid w:val="7B315B6D"/>
    <w:rsid w:val="7BF254D5"/>
    <w:rsid w:val="7C833A9B"/>
    <w:rsid w:val="7CA15108"/>
    <w:rsid w:val="7D33238A"/>
    <w:rsid w:val="7D456FA2"/>
    <w:rsid w:val="7DB54128"/>
    <w:rsid w:val="7DF52776"/>
    <w:rsid w:val="7EF79D9D"/>
    <w:rsid w:val="7EFCCD93"/>
    <w:rsid w:val="7F601E71"/>
    <w:rsid w:val="7F76AE0E"/>
    <w:rsid w:val="7F932247"/>
    <w:rsid w:val="7FBF0AD0"/>
    <w:rsid w:val="7FDF35C8"/>
    <w:rsid w:val="7FE92951"/>
    <w:rsid w:val="7FFF9916"/>
    <w:rsid w:val="7FFFC7D1"/>
    <w:rsid w:val="92FB8879"/>
    <w:rsid w:val="9DEBC48A"/>
    <w:rsid w:val="9DFEA04C"/>
    <w:rsid w:val="AFFF480B"/>
    <w:rsid w:val="B3DF2550"/>
    <w:rsid w:val="B68A957E"/>
    <w:rsid w:val="B75BA010"/>
    <w:rsid w:val="BDBDFBBD"/>
    <w:rsid w:val="BFF7ADAD"/>
    <w:rsid w:val="C635A702"/>
    <w:rsid w:val="CF6B915B"/>
    <w:rsid w:val="D33E4C42"/>
    <w:rsid w:val="DDA68EB3"/>
    <w:rsid w:val="DE5EB774"/>
    <w:rsid w:val="DEFA0AE8"/>
    <w:rsid w:val="DFBF216A"/>
    <w:rsid w:val="DFFBA7BF"/>
    <w:rsid w:val="E3FEE1BB"/>
    <w:rsid w:val="EABE8231"/>
    <w:rsid w:val="EBB737EF"/>
    <w:rsid w:val="EDDFB4D0"/>
    <w:rsid w:val="EE9F4485"/>
    <w:rsid w:val="EF53E1AE"/>
    <w:rsid w:val="EFCF3E99"/>
    <w:rsid w:val="EFD52D42"/>
    <w:rsid w:val="EFF72D3E"/>
    <w:rsid w:val="EFF7B3A0"/>
    <w:rsid w:val="F07EE51A"/>
    <w:rsid w:val="F3BFF93E"/>
    <w:rsid w:val="F5F72132"/>
    <w:rsid w:val="F5FBC2D9"/>
    <w:rsid w:val="F6BB9DDD"/>
    <w:rsid w:val="F6DA2F6A"/>
    <w:rsid w:val="F77FD64E"/>
    <w:rsid w:val="F7EDD305"/>
    <w:rsid w:val="F8AD6DA2"/>
    <w:rsid w:val="FAFBD98D"/>
    <w:rsid w:val="FB9F9391"/>
    <w:rsid w:val="FBE6BDD5"/>
    <w:rsid w:val="FBF6C501"/>
    <w:rsid w:val="FCF5BEC7"/>
    <w:rsid w:val="FDAFF526"/>
    <w:rsid w:val="FDBD7221"/>
    <w:rsid w:val="FDBF50E9"/>
    <w:rsid w:val="FDDCB960"/>
    <w:rsid w:val="FDE77321"/>
    <w:rsid w:val="FDF5BE66"/>
    <w:rsid w:val="FDFED8FA"/>
    <w:rsid w:val="FEC7F2BE"/>
    <w:rsid w:val="FEEF7300"/>
    <w:rsid w:val="FEF68FD8"/>
    <w:rsid w:val="FEFB49FD"/>
    <w:rsid w:val="FEFFB019"/>
    <w:rsid w:val="FF5FC595"/>
    <w:rsid w:val="FF7B4595"/>
    <w:rsid w:val="FF7D591A"/>
    <w:rsid w:val="FF9E01B2"/>
    <w:rsid w:val="FFBFF10E"/>
    <w:rsid w:val="FFD3449D"/>
    <w:rsid w:val="FFF23D68"/>
    <w:rsid w:val="FFFBA925"/>
    <w:rsid w:val="FFFE226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Plain Text"/>
    <w:basedOn w:val="1"/>
    <w:link w:val="11"/>
    <w:qFormat/>
    <w:uiPriority w:val="99"/>
    <w:rPr>
      <w:rFonts w:ascii="宋体" w:hAnsi="Courier New" w:cs="宋体"/>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szCs w:val="24"/>
    </w:rPr>
  </w:style>
  <w:style w:type="character" w:styleId="10">
    <w:name w:val="Hyperlink"/>
    <w:basedOn w:val="9"/>
    <w:qFormat/>
    <w:uiPriority w:val="99"/>
    <w:rPr>
      <w:color w:val="0000FF"/>
      <w:u w:val="single"/>
    </w:rPr>
  </w:style>
  <w:style w:type="character" w:customStyle="1" w:styleId="11">
    <w:name w:val="Plain Text Char"/>
    <w:basedOn w:val="9"/>
    <w:link w:val="3"/>
    <w:semiHidden/>
    <w:qFormat/>
    <w:uiPriority w:val="99"/>
    <w:rPr>
      <w:rFonts w:ascii="宋体" w:hAnsi="Courier New" w:cs="Courier New"/>
      <w:szCs w:val="21"/>
    </w:rPr>
  </w:style>
  <w:style w:type="character" w:customStyle="1" w:styleId="12">
    <w:name w:val="Balloon Text Char"/>
    <w:basedOn w:val="9"/>
    <w:link w:val="4"/>
    <w:qFormat/>
    <w:locked/>
    <w:uiPriority w:val="99"/>
    <w:rPr>
      <w:kern w:val="2"/>
      <w:sz w:val="18"/>
      <w:szCs w:val="18"/>
    </w:rPr>
  </w:style>
  <w:style w:type="character" w:customStyle="1" w:styleId="13">
    <w:name w:val="Footer Char"/>
    <w:basedOn w:val="9"/>
    <w:link w:val="5"/>
    <w:qFormat/>
    <w:locked/>
    <w:uiPriority w:val="99"/>
    <w:rPr>
      <w:kern w:val="2"/>
      <w:sz w:val="18"/>
      <w:szCs w:val="18"/>
    </w:rPr>
  </w:style>
  <w:style w:type="character" w:customStyle="1" w:styleId="14">
    <w:name w:val="Header Char"/>
    <w:basedOn w:val="9"/>
    <w:link w:val="6"/>
    <w:qFormat/>
    <w:locked/>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6</Pages>
  <Words>1074</Words>
  <Characters>1172</Characters>
  <Lines>0</Lines>
  <Paragraphs>0</Paragraphs>
  <TotalTime>25</TotalTime>
  <ScaleCrop>false</ScaleCrop>
  <LinksUpToDate>false</LinksUpToDate>
  <CharactersWithSpaces>1176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2021-05-04T02:23:00Z</dcterms:created>
  <dc:creator>Administrator</dc:creator>
  <cp:lastModifiedBy>kylin</cp:lastModifiedBy>
  <dcterms:modified xsi:type="dcterms:W3CDTF">2025-12-30T16:35:17Z</dcterms:modified>
  <dc:title>宝山区民政局2020年政府信息公开工作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BCD9458C74E04FDD92820E8451502EA1_13</vt:lpwstr>
  </property>
  <property fmtid="{D5CDD505-2E9C-101B-9397-08002B2CF9AE}" pid="4" name="KSOTemplateDocerSaveRecord">
    <vt:lpwstr>eyJoZGlkIjoiNDNiNzdkMGUyYTdlOTg4ODJkMjM2NDgwYmFhMjEwMWYiLCJ1c2VySWQiOiIxMTI1NjIzMTQyIn0=</vt:lpwstr>
  </property>
</Properties>
</file>