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宝山区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商务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局202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年政府信息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公开年度报告</w:t>
      </w:r>
    </w:p>
    <w:p>
      <w:pPr>
        <w:spacing w:before="7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35"/>
          <w:szCs w:val="35"/>
        </w:rPr>
      </w:pPr>
    </w:p>
    <w:p>
      <w:pPr>
        <w:pStyle w:val="4"/>
        <w:spacing w:before="0" w:line="357" w:lineRule="auto"/>
        <w:ind w:right="111" w:firstLine="640"/>
        <w:jc w:val="both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</w:rPr>
        <w:t>2025年，我局严格贯彻落实《中华人民共和国政府信息公开条例》及市政府关于信息公开工作的各项部署要求，始终秉持“公开为常态，不公开为例外”的工作原则。结合本局工作实际，积极稳妥推进信息公开工作，持续拓展公开范围、丰富公开内容，切实保障政府信息公开的及时性、完整性与真实性，有效提升了政务工作的透明度与公信力。本年度报告中所列数据的统计期限自 20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</w:rPr>
        <w:t>年 1 月 1 日起至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202</w:t>
      </w:r>
      <w:r>
        <w:rPr>
          <w:rFonts w:hint="default" w:ascii="仿宋_GB2312" w:hAnsi="仿宋_GB2312" w:eastAsia="仿宋_GB2312" w:cs="仿宋_GB2312"/>
          <w:spacing w:val="0"/>
          <w:w w:val="99"/>
          <w:sz w:val="32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 xml:space="preserve">年 12 月 31 日止。本年度报告内容可以通过“龙江宝山” </w:t>
      </w:r>
      <w:r>
        <w:rPr>
          <w:rFonts w:hint="eastAsia" w:ascii="仿宋_GB2312" w:hAnsi="仿宋_GB2312" w:eastAsia="仿宋_GB2312" w:cs="仿宋_GB2312"/>
          <w:spacing w:val="0"/>
          <w:sz w:val="32"/>
        </w:rPr>
        <w:t>网 站 - 政 府 信 息 公 开 - 政 府 信 息 公 开 年 报 栏 目</w: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</w:rPr>
        <w:instrText xml:space="preserve"> HYPERLINK "http://www.sysbsq.gov.cn/" \h </w:instrTex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sz w:val="32"/>
        </w:rPr>
        <w:t>（http://www.sysbsq.gov.cn</w: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）中查阅下载或直接与宝山区经合局办公室联系（地址：宝山区银河大街 258 号，邮编： 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155131，电话：0469-4321415，电子邮箱：</w: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</w:rPr>
        <w:instrText xml:space="preserve"> HYPERLINK "mailto:bsqjhj@126.com" \h </w:instrTex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bsqjhj@126.com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）。</w:t>
      </w:r>
    </w:p>
    <w:p>
      <w:pPr>
        <w:spacing w:before="0" w:line="504" w:lineRule="exact"/>
        <w:ind w:left="780" w:right="111" w:firstLine="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t>一、总体情况</w:t>
      </w:r>
    </w:p>
    <w:p>
      <w:pPr>
        <w:pStyle w:val="3"/>
        <w:spacing w:after="29" w:line="532" w:lineRule="exact"/>
        <w:ind w:left="0" w:leftChars="0" w:right="0"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en-US" w:bidi="ar-SA"/>
        </w:rPr>
        <w:t>（一）主动公开情况 </w:t>
      </w:r>
    </w:p>
    <w:p>
      <w:pPr>
        <w:pStyle w:val="3"/>
        <w:spacing w:after="29" w:line="532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年在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商务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局网站公布政务动态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指南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信息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条。</w:t>
      </w:r>
    </w:p>
    <w:p>
      <w:pPr>
        <w:pStyle w:val="3"/>
        <w:numPr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zh-CN" w:bidi="ar-SA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en-US" w:bidi="ar-SA"/>
        </w:rPr>
        <w:t>依申请公开情况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全年未收到信息公开申请，没有依申请公开信息。无因政府信息公开引起的行政复议和行政诉讼案件。</w:t>
      </w:r>
    </w:p>
    <w:p>
      <w:pPr>
        <w:pStyle w:val="3"/>
        <w:numPr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zh-CN" w:bidi="ar-SA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en-US" w:bidi="ar-SA"/>
        </w:rPr>
        <w:t>政府信息管理情况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我局严守保密法规，紧扣商务领域涉外经贸、招商引资等重点，抓实政府信息保密管理。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严格遵守“上网信息不涉密，涉密信息不上网”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原则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，确保不发生失泄密问题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切实把好信息安全和网络防护关口。</w:t>
      </w:r>
    </w:p>
    <w:p>
      <w:pPr>
        <w:pStyle w:val="3"/>
        <w:numPr>
          <w:ilvl w:val="0"/>
          <w:numId w:val="0"/>
        </w:numPr>
        <w:spacing w:after="29" w:line="532" w:lineRule="exact"/>
        <w:ind w:left="794" w:leftChars="0" w:right="0" w:rightChars="0"/>
        <w:jc w:val="both"/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zh-CN" w:bidi="ar-SA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spacing w:val="0"/>
          <w:sz w:val="32"/>
          <w:szCs w:val="32"/>
          <w:lang w:val="en-US" w:eastAsia="en-US" w:bidi="ar-SA"/>
        </w:rPr>
        <w:t>监督保障情况 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通过政府门户网站主动公开单位概况、领导分工、机构设置、办公地址及联系电话等核心基础信息，保障群众的知情权、参与权和监督权，为群众咨询办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事、沟通监督提供清晰指引，切实提升政务服务便捷度。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t>二、主动公开信息情况</w:t>
      </w:r>
    </w:p>
    <w:tbl>
      <w:tblPr>
        <w:tblStyle w:val="5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071"/>
        <w:gridCol w:w="2072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left="1"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现行有效件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before="22"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before="23"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before="23"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1870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</w:tbl>
    <w:p>
      <w:pPr>
        <w:spacing w:before="5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4"/>
          <w:szCs w:val="4"/>
        </w:rPr>
      </w:pPr>
    </w:p>
    <w:p>
      <w:pPr>
        <w:spacing w:before="0" w:line="456" w:lineRule="exact"/>
        <w:ind w:left="540" w:right="0" w:firstLine="0"/>
        <w:jc w:val="left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t>三、收到和处理政府信息公开申请情况</w:t>
      </w:r>
    </w:p>
    <w:p>
      <w:pPr>
        <w:spacing w:after="0" w:line="456" w:lineRule="exact"/>
        <w:jc w:val="left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sectPr>
          <w:footerReference r:id="rId5" w:type="default"/>
          <w:pgSz w:w="11910" w:h="16840"/>
          <w:pgMar w:top="1500" w:right="1680" w:bottom="1380" w:left="1680" w:header="0" w:footer="1144" w:gutter="0"/>
          <w:cols w:space="720" w:num="1"/>
        </w:sectPr>
      </w:pPr>
    </w:p>
    <w:tbl>
      <w:tblPr>
        <w:tblStyle w:val="5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2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0"/>
                <w:szCs w:val="10"/>
              </w:rPr>
            </w:pPr>
          </w:p>
          <w:p>
            <w:pPr>
              <w:pStyle w:val="9"/>
              <w:spacing w:line="300" w:lineRule="auto"/>
              <w:ind w:left="98" w:right="0"/>
              <w:jc w:val="left"/>
              <w:rPr>
                <w:rFonts w:hint="default" w:ascii="楷体" w:hAnsi="楷体" w:eastAsia="楷体" w:cs="楷体"/>
                <w:sz w:val="19"/>
                <w:szCs w:val="19"/>
              </w:rPr>
            </w:pPr>
            <w:r>
              <w:rPr>
                <w:rFonts w:hint="default" w:ascii="楷体" w:hAnsi="楷体" w:eastAsia="楷体" w:cs="楷体"/>
                <w:color w:val="333333"/>
                <w:spacing w:val="-3"/>
                <w:sz w:val="19"/>
                <w:szCs w:val="19"/>
              </w:rPr>
              <w:t xml:space="preserve">（本列数据的勾稽关系为：第一项加第二项之和， </w:t>
            </w:r>
            <w:r>
              <w:rPr>
                <w:rFonts w:hint="default" w:ascii="楷体" w:hAnsi="楷体" w:eastAsia="楷体" w:cs="楷体"/>
                <w:color w:val="333333"/>
                <w:sz w:val="19"/>
                <w:szCs w:val="19"/>
              </w:rPr>
              <w:t>等于第三项加第四项之和）</w:t>
            </w:r>
          </w:p>
        </w:tc>
        <w:tc>
          <w:tcPr>
            <w:tcW w:w="42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198" w:right="101" w:hanging="96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自然 人</w:t>
            </w:r>
          </w:p>
        </w:tc>
        <w:tc>
          <w:tcPr>
            <w:tcW w:w="30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 w:line="240" w:lineRule="auto"/>
              <w:ind w:left="829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240" w:lineRule="auto"/>
              <w:ind w:left="10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4256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8" w:line="300" w:lineRule="auto"/>
              <w:ind w:left="102" w:right="10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商业 企业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8" w:line="300" w:lineRule="auto"/>
              <w:ind w:left="102" w:right="102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科研 机构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01" w:right="103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社会 公益 组织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02" w:right="101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法律 服务 机构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7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300" w:lineRule="auto"/>
              <w:ind w:left="52" w:right="5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1"/>
                <w:sz w:val="19"/>
                <w:szCs w:val="19"/>
              </w:rPr>
              <w:t xml:space="preserve">三、本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年度 办理 结果</w:t>
            </w:r>
          </w:p>
        </w:tc>
        <w:tc>
          <w:tcPr>
            <w:tcW w:w="3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3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 w:line="300" w:lineRule="auto"/>
              <w:ind w:left="52" w:right="106"/>
              <w:jc w:val="left"/>
              <w:rPr>
                <w:rFonts w:hint="default" w:ascii="楷体" w:hAnsi="楷体" w:eastAsia="楷体" w:cs="楷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"/>
                <w:sz w:val="19"/>
                <w:szCs w:val="19"/>
              </w:rPr>
              <w:t>（二）部分公开</w:t>
            </w:r>
            <w:r>
              <w:rPr>
                <w:rFonts w:hint="default" w:ascii="楷体" w:hAnsi="楷体" w:eastAsia="楷体" w:cs="楷体"/>
                <w:color w:val="333333"/>
                <w:spacing w:val="-1"/>
                <w:sz w:val="19"/>
                <w:szCs w:val="19"/>
              </w:rPr>
              <w:t>（区分处理的，只计这一</w:t>
            </w:r>
            <w:r>
              <w:rPr>
                <w:rFonts w:hint="default" w:ascii="楷体" w:hAnsi="楷体" w:eastAsia="楷体" w:cs="楷体"/>
                <w:color w:val="333333"/>
                <w:sz w:val="19"/>
                <w:szCs w:val="19"/>
              </w:rPr>
              <w:t xml:space="preserve"> 情形，不计其他情形）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（三）不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予公开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4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（四）无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法提供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3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9"/>
                <w:szCs w:val="19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（五）不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予处理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6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hint="default" w:ascii="微软雅黑" w:hAnsi="微软雅黑" w:eastAsia="微软雅黑" w:cs="微软雅黑"/>
          <w:sz w:val="18"/>
          <w:szCs w:val="18"/>
        </w:rPr>
        <w:sectPr>
          <w:pgSz w:w="11910" w:h="16840"/>
          <w:pgMar w:top="1420" w:right="1600" w:bottom="1340" w:left="1600" w:header="0" w:footer="1144" w:gutter="0"/>
          <w:cols w:space="720" w:num="1"/>
        </w:sectPr>
      </w:pPr>
    </w:p>
    <w:tbl>
      <w:tblPr>
        <w:tblStyle w:val="5"/>
        <w:tblW w:w="0" w:type="auto"/>
        <w:tblInd w:w="2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</w:trPr>
        <w:tc>
          <w:tcPr>
            <w:tcW w:w="66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pacing w:val="2"/>
                <w:sz w:val="19"/>
                <w:szCs w:val="19"/>
              </w:rPr>
              <w:t>5.要求行政机关确认或重新出具</w:t>
            </w:r>
          </w:p>
          <w:p>
            <w:pPr>
              <w:pStyle w:val="9"/>
              <w:spacing w:before="17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6"/>
                <w:szCs w:val="16"/>
              </w:rPr>
            </w:pPr>
          </w:p>
          <w:p>
            <w:pPr>
              <w:pStyle w:val="9"/>
              <w:spacing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已获取信息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5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13"/>
                <w:sz w:val="19"/>
                <w:szCs w:val="19"/>
              </w:rPr>
              <w:t>1.申请人无正当理由逾期不补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6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正、行政机关不再处理其政府信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4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（六）其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他处理</w:t>
            </w:r>
          </w:p>
        </w:tc>
        <w:tc>
          <w:tcPr>
            <w:tcW w:w="2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39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息公开申请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300" w:lineRule="auto"/>
              <w:ind w:left="51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13"/>
                <w:sz w:val="19"/>
                <w:szCs w:val="19"/>
              </w:rPr>
              <w:t xml:space="preserve">2.申请人逾期未按收费通知要 </w:t>
            </w:r>
            <w:r>
              <w:rPr>
                <w:rFonts w:hint="default" w:ascii="宋体" w:hAnsi="宋体" w:eastAsia="宋体" w:cs="宋体"/>
                <w:color w:val="333333"/>
                <w:spacing w:val="-1"/>
                <w:sz w:val="19"/>
                <w:szCs w:val="19"/>
              </w:rPr>
              <w:t>求缴纳费用、行政机关不再处理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其政府信息公开申请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6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4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</w:tbl>
    <w:p>
      <w:pPr>
        <w:spacing w:before="1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4"/>
          <w:szCs w:val="4"/>
        </w:rPr>
      </w:pPr>
    </w:p>
    <w:p>
      <w:pPr>
        <w:spacing w:before="0" w:after="29" w:line="456" w:lineRule="exact"/>
        <w:ind w:left="760" w:right="170" w:firstLine="0"/>
        <w:jc w:val="left"/>
        <w:rPr>
          <w:rFonts w:hint="default" w:ascii="Microsoft JhengHei" w:hAnsi="Microsoft JhengHei" w:eastAsia="Microsoft JhengHei" w:cs="Microsoft JhengHei"/>
          <w:sz w:val="32"/>
          <w:szCs w:val="32"/>
        </w:rPr>
      </w:pPr>
      <w:r>
        <w:rPr>
          <w:rFonts w:hint="default" w:ascii="Microsoft JhengHei" w:hAnsi="Microsoft JhengHei" w:eastAsia="Microsoft JhengHei" w:cs="Microsoft JhengHei"/>
          <w:b/>
          <w:bCs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82"/>
        <w:gridCol w:w="583"/>
        <w:gridCol w:w="583"/>
        <w:gridCol w:w="582"/>
        <w:gridCol w:w="583"/>
        <w:gridCol w:w="582"/>
        <w:gridCol w:w="583"/>
        <w:gridCol w:w="583"/>
        <w:gridCol w:w="582"/>
        <w:gridCol w:w="582"/>
        <w:gridCol w:w="583"/>
        <w:gridCol w:w="583"/>
        <w:gridCol w:w="582"/>
        <w:gridCol w:w="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9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left="1258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left="378"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行政诉讼</w:t>
            </w:r>
          </w:p>
        </w:tc>
      </w:tr>
      <w:tr>
        <w:trPr>
          <w:trHeight w:val="327" w:hRule="exact"/>
        </w:trPr>
        <w:tc>
          <w:tcPr>
            <w:tcW w:w="5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维 持</w:t>
            </w:r>
          </w:p>
        </w:tc>
        <w:tc>
          <w:tcPr>
            <w:tcW w:w="5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8" w:right="187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纠 正</w:t>
            </w:r>
          </w:p>
        </w:tc>
        <w:tc>
          <w:tcPr>
            <w:tcW w:w="5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9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 他 结 果</w:t>
            </w:r>
          </w:p>
        </w:tc>
        <w:tc>
          <w:tcPr>
            <w:tcW w:w="5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9" w:right="186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尚 未 审 结</w:t>
            </w:r>
          </w:p>
        </w:tc>
        <w:tc>
          <w:tcPr>
            <w:tcW w:w="5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9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7" w:right="189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总 计</w:t>
            </w:r>
          </w:p>
        </w:tc>
        <w:tc>
          <w:tcPr>
            <w:tcW w:w="29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 w:line="240" w:lineRule="auto"/>
              <w:ind w:left="877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 w:line="240" w:lineRule="auto"/>
              <w:ind w:left="1163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5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7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维 持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6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纠 正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7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 他 结 果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7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尚 未 审 结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188" w:right="187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总 计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9" w:right="186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维 持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纠 正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其 他 结 果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尚 未 审 结</w:t>
            </w: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189" w:right="187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总 计</w:t>
            </w:r>
          </w:p>
        </w:tc>
      </w:tr>
      <w:tr>
        <w:trPr>
          <w:trHeight w:val="558" w:hRule="exact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1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1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</w:tr>
    </w:tbl>
    <w:p>
      <w:pPr>
        <w:spacing w:before="5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4"/>
          <w:szCs w:val="4"/>
        </w:rPr>
      </w:pPr>
    </w:p>
    <w:p>
      <w:pPr>
        <w:pStyle w:val="3"/>
        <w:numPr>
          <w:ilvl w:val="0"/>
          <w:numId w:val="0"/>
        </w:numPr>
        <w:spacing w:after="29" w:line="532" w:lineRule="exact"/>
        <w:ind w:left="794" w:leftChars="0" w:right="0" w:rightChars="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存在问题：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因我局属区直单位，不具备行政审批、行政处罚等行政权力职能，相较于有执法权的部门，可对外公开的政务信息来源相对单一，信息总量偏少，难以充分满足社会公众对商务领域政务信息的多元需求。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改进情况：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将政务公开工作全面融入商务业务全流程，贯穿商贸流通、招商引资、市场保供、企业服务等各项重点工作，以服务优化提升部门形象与公信力，让公开的信息更贴近公众需求、方便群众办事。</w:t>
      </w:r>
    </w:p>
    <w:p>
      <w:pPr>
        <w:pStyle w:val="3"/>
        <w:numPr>
          <w:ilvl w:val="0"/>
          <w:numId w:val="0"/>
        </w:numPr>
        <w:spacing w:after="29" w:line="532" w:lineRule="exact"/>
        <w:ind w:left="794" w:leftChars="0"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</w:p>
    <w:sectPr>
      <w:pgSz w:w="11910" w:h="16840"/>
      <w:pgMar w:top="1420" w:right="1460" w:bottom="1340" w:left="1460" w:header="0" w:footer="11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002030204"/>
    <w:charset w:val="86"/>
    <w:family w:val="swiss"/>
    <w:pitch w:val="default"/>
    <w:sig w:usb0="00000000" w:usb1="00000000" w:usb2="00000009" w:usb3="00000000" w:csb0="200001FF" w:csb1="00000000"/>
  </w:font>
  <w:font w:name="Microsoft JhengHei">
    <w:altName w:val="DejaVu Sans"/>
    <w:panose1 w:val="020B0604030005040204"/>
    <w:charset w:val="88"/>
    <w:family w:val="swiss"/>
    <w:pitch w:val="default"/>
    <w:sig w:usb0="00000000" w:usb1="000000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9799955</wp:posOffset>
              </wp:positionV>
              <wp:extent cx="107950" cy="1397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4" w:lineRule="exact"/>
                            <w:ind w:left="40" w:right="0" w:firstLine="0"/>
                            <w:jc w:val="left"/>
                            <w:rPr>
                              <w:rFonts w:hint="default"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498.75pt;margin-top:771.65pt;height:11pt;width:8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N3sph3AAAAA4BAAAPAAAAAAAAAAEAIAAAADgA&#10;AABkcnMvZG93bnJldi54bWxQSwECFAAUAAAACACHTuJA3cytVLYBAABiAwAADgAAAAAAAAABACAA&#10;AABB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4" w:lineRule="exact"/>
                      <w:ind w:left="40" w:right="0" w:firstLine="0"/>
                      <w:jc w:val="left"/>
                      <w:rPr>
                        <w:rFonts w:hint="default"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3F4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Microsoft JhengHei" w:hAnsi="Microsoft JhengHei" w:eastAsia="Microsoft JhengHei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8"/>
      <w:ind w:left="120"/>
    </w:pPr>
    <w:rPr>
      <w:rFonts w:ascii="宋体" w:hAnsi="宋体" w:eastAsia="宋体"/>
      <w:sz w:val="32"/>
      <w:szCs w:val="32"/>
    </w:r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1669</Words>
  <Characters>1759</Characters>
  <Paragraphs>491</Paragraphs>
  <TotalTime>7</TotalTime>
  <ScaleCrop>false</ScaleCrop>
  <LinksUpToDate>false</LinksUpToDate>
  <CharactersWithSpaces>1847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2023-01-16T20:55:00Z</dcterms:created>
  <dc:creator>Administrator</dc:creator>
  <cp:lastModifiedBy>baixin</cp:lastModifiedBy>
  <dcterms:modified xsi:type="dcterms:W3CDTF">2026-01-06T09:14:24Z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2023-01-16T00:00:00Z</vt:filetime>
  </property>
  <property fmtid="{D5CDD505-2E9C-101B-9397-08002B2CF9AE}" pid="5" name="KSOProductBuildVer">
    <vt:lpwstr>2052-11.8.2.10953</vt:lpwstr>
  </property>
  <property fmtid="{D5CDD505-2E9C-101B-9397-08002B2CF9AE}" pid="6" name="ICV">
    <vt:lpwstr>A28FBD45F49140A7A75B4B804FD12EB0_13</vt:lpwstr>
  </property>
  <property fmtid="{D5CDD505-2E9C-101B-9397-08002B2CF9AE}" pid="7" name="KSOTemplateDocerSaveRecord">
    <vt:lpwstr>eyJoZGlkIjoiYzEzZDc4NmE5NzBmNGQzYWY0OTQ5ODRiNjBhMWIzYTkiLCJ1c2VySWQiOiIyOTU5MTkwNDAifQ==</vt:lpwstr>
  </property>
</Properties>
</file>