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37B836B1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92" w:lineRule="exact"/>
        <w:rPr>
          <w:sz w:val="44"/>
          <w:szCs w:val="44"/>
          <w:rFonts w:ascii="方正小标宋简体" w:hAnsi="方正小标宋简体" w:eastAsia="方正小标宋简体" w:cs="方正小标宋简体" w:hint="eastAsia"/>
        </w:rPr>
      </w:pPr>
      <w:r>
        <w:rPr>
          <w:sz w:val="44"/>
          <w:lang w:eastAsia="zh-CN"/>
          <w:szCs w:val="44"/>
          <w:rFonts w:ascii="方正小标宋简体" w:hAnsi="方正小标宋简体" w:eastAsia="方正小标宋简体" w:cs="方正小标宋简体" w:hint="eastAsia"/>
        </w:rPr>
        <w:t>双鸭山市</w:t>
      </w:r>
      <w:r>
        <w:rPr>
          <w:sz w:val="44"/>
          <w:szCs w:val="44"/>
          <w:rFonts w:ascii="方正小标宋简体" w:hAnsi="方正小标宋简体" w:eastAsia="方正小标宋简体" w:cs="方正小标宋简体" w:hint="eastAsia"/>
        </w:rPr>
        <w:t>宝山区新安街道办事处</w:t>
      </w:r>
    </w:p>
    <w:p w14:paraId="442D4A04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92" w:lineRule="exact"/>
        <w:rPr>
          <w:sz w:val="44"/>
          <w:szCs w:val="44"/>
          <w:rFonts w:ascii="方正小标宋简体" w:hAnsi="方正小标宋简体" w:eastAsia="方正小标宋简体" w:cs="方正小标宋简体" w:hint="eastAsia"/>
        </w:rPr>
      </w:pPr>
      <w:r>
        <w:rPr>
          <w:sz w:val="44"/>
          <w:lang w:eastAsia="zh-CN"/>
          <w:szCs w:val="44"/>
          <w:rFonts w:ascii="方正小标宋简体" w:hAnsi="方正小标宋简体" w:eastAsia="方正小标宋简体" w:cs="方正小标宋简体" w:hint="eastAsia"/>
        </w:rPr>
        <w:t>202</w:t>
      </w:r>
      <w:r>
        <w:rPr>
          <w:sz w:val="44"/>
          <w:lang w:val="en-US" w:eastAsia="zh-CN"/>
          <w:szCs w:val="44"/>
          <w:rFonts w:ascii="方正小标宋简体" w:hAnsi="方正小标宋简体" w:eastAsia="方正小标宋简体" w:cs="方正小标宋简体" w:hint="eastAsia"/>
        </w:rPr>
        <w:t>5</w:t>
      </w:r>
      <w:r>
        <w:rPr>
          <w:sz w:val="44"/>
          <w:szCs w:val="44"/>
          <w:rFonts w:ascii="方正小标宋简体" w:hAnsi="方正小标宋简体" w:eastAsia="方正小标宋简体" w:cs="方正小标宋简体" w:hint="eastAsia"/>
        </w:rPr>
        <w:t>年政府信息公开工作年度报告</w:t>
      </w:r>
    </w:p>
    <w:p w14:paraId="6670E3FF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rPr>
          <w:color w:val="auto"/>
          <w:sz w:val="32"/>
          <w:szCs w:val="32"/>
          <w:rFonts w:ascii="仿宋_GB2312" w:hAnsi="仿宋_GB2312" w:eastAsia="仿宋_GB2312" w:cs="仿宋_GB2312" w:hint="eastAsia"/>
        </w:rPr>
      </w:pPr>
    </w:p>
    <w:p w14:paraId="2756817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ind w:firstLine="652" w:firstLineChars="200"/>
        <w:rPr>
          <w:color w:val="auto"/>
          <w:sz w:val="32"/>
          <w:szCs w:val="32"/>
          <w:rFonts w:ascii="仿宋_GB2312" w:hAnsi="仿宋_GB2312" w:eastAsia="仿宋_GB2312" w:cs="仿宋_GB2312" w:hint="eastAsia"/>
        </w:rPr>
      </w:pPr>
      <w:r>
        <w:rPr>
          <w:spacing w:val="3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按照《中华人民共和国政府信息公开条例》（以下简称《条例》）《中华人民共和国政府信息公开工作年度报告格式》等文</w:t>
      </w:r>
      <w:r>
        <w:rPr>
          <w:sz w:val="32"/>
          <w:lang w:val="en-US" w:eastAsia="zh-CN" w:bidi="ar-SA"/>
          <w:kern w:val="2"/>
          <w:szCs w:val="32"/>
          <w:rFonts w:ascii="仿宋_GB2312" w:hAnsi="仿宋_GB2312" w:eastAsia="仿宋_GB2312" w:cs="仿宋_GB2312" w:hint="eastAsia"/>
        </w:rPr>
        <w:t>件精神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相关要求</w:t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t>，结合新安街道办事处工作实际，特编制此报告，本报告由政府信息公开工作总体情况概述、主动公开政府信息情况、收到和处理政府信息公开申请情况、政府信息公开行政复议、行政诉讼情况、存在的主要问题及改进措施组成。本报告中所列数据的统计期限为：</w:t>
      </w:r>
      <w:r>
        <w:rPr>
          <w:color w:val="auto"/>
          <w:sz w:val="32"/>
          <w:lang w:eastAsia="zh-CN"/>
          <w:szCs w:val="32"/>
          <w:rFonts w:ascii="仿宋_GB2312" w:hAnsi="仿宋_GB2312" w:eastAsia="仿宋_GB2312" w:cs="仿宋_GB2312" w:hint="eastAsia"/>
        </w:rPr>
        <w:t>202</w:t>
      </w:r>
      <w:r>
        <w:rPr>
          <w:color w:val="auto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5</w:t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t>年1月1日—</w:t>
      </w:r>
      <w:r>
        <w:rPr>
          <w:color w:val="auto"/>
          <w:sz w:val="32"/>
          <w:lang w:eastAsia="zh-CN"/>
          <w:szCs w:val="32"/>
          <w:rFonts w:ascii="仿宋_GB2312" w:hAnsi="仿宋_GB2312" w:eastAsia="仿宋_GB2312" w:cs="仿宋_GB2312" w:hint="eastAsia"/>
        </w:rPr>
        <w:t>202</w:t>
      </w:r>
      <w:r>
        <w:rPr>
          <w:color w:val="auto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5</w:t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t>年12月31日止。如对本年度报告有任何疑问，请联系新安街道办事处（地址：宝山区新安街道二马路中段，电话：0469-4393444，电子邮箱：</w:t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fldChar w:fldCharType="begin"/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instrText xml:space="preserve"> HYPERLINK "mailto:444180774yang@163.com%EF%BC%89%E3%80%82" </w:instrText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fldChar w:fldCharType="separate"/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t>444180774yang@163.com）。</w:t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fldChar w:fldCharType="end"/>
      </w:r>
    </w:p>
    <w:p w14:paraId="7437ACC1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ind w:firstLine="640" w:firstLineChars="200"/>
        <w:rPr>
          <w:color w:val="auto"/>
          <w:sz w:val="32"/>
          <w:szCs w:val="32"/>
          <w:rFonts w:ascii="黑体" w:hAnsi="黑体" w:eastAsia="黑体" w:cs="黑体" w:hint="eastAsia"/>
        </w:rPr>
      </w:pPr>
      <w:r>
        <w:rPr>
          <w:color w:val="auto"/>
          <w:sz w:val="32"/>
          <w:lang w:val="en-US" w:eastAsia="zh-CN"/>
          <w:szCs w:val="32"/>
          <w:rFonts w:ascii="黑体" w:hAnsi="黑体" w:eastAsia="黑体" w:cs="黑体" w:hint="eastAsia"/>
        </w:rPr>
        <w:t>一、总体情况</w:t>
      </w:r>
    </w:p>
    <w:p w14:paraId="6848D574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ind w:firstLine="640" w:firstLineChars="200"/>
        <w:rPr>
          <w:color w:val="auto"/>
          <w:sz w:val="32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eastAsia="zh-CN"/>
          <w:szCs w:val="32"/>
          <w:rFonts w:ascii="仿宋_GB2312" w:hAnsi="仿宋_GB2312" w:eastAsia="仿宋_GB2312" w:cs="仿宋_GB2312" w:hint="eastAsia"/>
        </w:rPr>
        <w:t>202</w:t>
      </w:r>
      <w:r>
        <w:rPr>
          <w:color w:val="auto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5</w:t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t>年，</w:t>
      </w:r>
      <w:r>
        <w:rPr>
          <w:color w:val="auto"/>
          <w:sz w:val="32"/>
          <w:lang w:eastAsia="zh-CN"/>
          <w:szCs w:val="32"/>
          <w:rFonts w:ascii="仿宋_GB2312" w:hAnsi="仿宋_GB2312" w:eastAsia="仿宋_GB2312" w:cs="仿宋_GB2312" w:hint="eastAsia"/>
        </w:rPr>
        <w:t>双鸭山市宝山区新安</w:t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t>街道办事处在</w:t>
      </w:r>
      <w:r>
        <w:rPr>
          <w:color w:val="auto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区委、</w:t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t>区政府的坚强领导下，严格按照</w:t>
      </w:r>
      <w:r>
        <w:rPr>
          <w:color w:val="000000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《中华人民共和国政府信息公开条例》</w:t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t>精神，结合街道实际情况，</w:t>
      </w:r>
      <w:r>
        <w:rPr>
          <w:color w:val="000000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通过街道及社区公示栏、条幅、海报、微信群和朋友圈转发等方式，不断拓宽公开渠道</w:t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t>，加大公开力度，持续在深化政府信息公开内容、完善政府信息公开配套工作等方面推深落实。</w:t>
      </w:r>
    </w:p>
    <w:p w14:paraId="571B7B45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ind w:firstLine="640" w:firstLineChars="200"/>
        <w:rPr>
          <w:color w:val="auto"/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/>
          <w:szCs w:val="32"/>
          <w:rFonts w:ascii="楷体_GB2312" w:hAnsi="楷体_GB2312" w:eastAsia="楷体_GB2312" w:cs="楷体_GB2312" w:hint="eastAsia"/>
        </w:rPr>
        <w:t>（一）主动公开情况。</w:t>
      </w:r>
      <w:r>
        <w:rPr>
          <w:color w:val="auto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2025年1月1日至2025年12月31日，</w:t>
      </w:r>
      <w:r>
        <w:rPr>
          <w:color w:val="000000" w:themeColor="text1"/>
          <w:sz w:val="32"/>
          <w:lang w:val="en-US" w:eastAsia="zh-CN"/>
          <w:szCs w:val="32"/>
          <w14:textFill>
            <w14:solidFill>
              <w14:schemeClr w14:val="tx1"/>
            </w14:solidFill>
          </w14:textFill>
          <w:rFonts w:ascii="仿宋_GB2312" w:hAnsi="仿宋_GB2312" w:eastAsia="仿宋_GB2312" w:cs="仿宋_GB2312" w:hint="eastAsia"/>
        </w:rPr>
        <w:t>主动公开信息条312。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:rFonts w:ascii="仿宋_GB2312" w:hAnsi="仿宋_GB2312" w:eastAsia="仿宋_GB2312" w:cs="仿宋_GB2312" w:hint="eastAsia"/>
        </w:rPr>
        <w:t>其中：</w:t>
      </w:r>
      <w:r>
        <w:rPr>
          <w:color w:val="000000" w:themeColor="text1"/>
          <w:sz w:val="32"/>
          <w:lang w:eastAsia="zh-CN"/>
          <w:szCs w:val="32"/>
          <w14:textFill>
            <w14:solidFill>
              <w14:schemeClr w14:val="tx1"/>
            </w14:solidFill>
          </w14:textFill>
          <w:rFonts w:ascii="仿宋_GB2312" w:hAnsi="仿宋_GB2312" w:eastAsia="仿宋_GB2312" w:cs="仿宋_GB2312" w:hint="eastAsia"/>
        </w:rPr>
        <w:t>通过双鸭山日报、观点宝山发布新闻动态</w:t>
      </w:r>
      <w:r>
        <w:rPr>
          <w:color w:val="000000" w:themeColor="text1"/>
          <w:sz w:val="32"/>
          <w:lang w:val="en-US" w:eastAsia="zh-CN"/>
          <w:szCs w:val="32"/>
          <w14:textFill>
            <w14:solidFill>
              <w14:schemeClr w14:val="tx1"/>
            </w14:solidFill>
          </w14:textFill>
          <w:rFonts w:ascii="仿宋_GB2312" w:hAnsi="仿宋_GB2312" w:eastAsia="仿宋_GB2312" w:cs="仿宋_GB2312" w:hint="eastAsia"/>
        </w:rPr>
        <w:t>93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:rFonts w:ascii="仿宋_GB2312" w:hAnsi="仿宋_GB2312" w:eastAsia="仿宋_GB2312" w:cs="仿宋_GB2312" w:hint="eastAsia"/>
        </w:rPr>
        <w:t>条</w:t>
      </w:r>
      <w:r>
        <w:rPr>
          <w:color w:val="000000" w:themeColor="text1"/>
          <w:sz w:val="32"/>
          <w:lang w:eastAsia="zh-CN"/>
          <w:szCs w:val="32"/>
          <w14:textFill>
            <w14:solidFill>
              <w14:schemeClr w14:val="tx1"/>
            </w14:solidFill>
          </w14:textFill>
          <w:rFonts w:ascii="仿宋_GB2312" w:hAnsi="仿宋_GB2312" w:eastAsia="仿宋_GB2312" w:cs="仿宋_GB2312" w:hint="eastAsia"/>
        </w:rPr>
        <w:t>，</w:t>
      </w:r>
      <w:r>
        <w:rPr>
          <w:b w:val="0"/>
          <w:color w:val="000000"/>
          <w:sz w:val="32"/>
          <w:lang w:val="en-US" w:eastAsia="zh-CN"/>
          <w:bCs/>
          <w:szCs w:val="32"/>
          <w:rFonts w:ascii="仿宋_GB2312" w:hAnsi="仿宋_GB2312" w:eastAsia="仿宋_GB2312" w:cs="仿宋_GB2312" w:hint="eastAsia"/>
        </w:rPr>
        <w:t>通过办事窗口公开公示便民惠民政策、办事流程以及办理结果等方面内容</w:t>
      </w:r>
      <w:r>
        <w:rPr>
          <w:color w:val="000000" w:themeColor="text1"/>
          <w:sz w:val="32"/>
          <w:lang w:val="en-US" w:eastAsia="zh-CN"/>
          <w:szCs w:val="32"/>
          <w14:textFill>
            <w14:solidFill>
              <w14:schemeClr w14:val="tx1"/>
            </w14:solidFill>
          </w14:textFill>
          <w:rFonts w:ascii="仿宋_GB2312" w:hAnsi="仿宋_GB2312" w:eastAsia="仿宋_GB2312" w:cs="仿宋_GB2312" w:hint="eastAsia"/>
        </w:rPr>
        <w:t>154条，通过居民网格群宣传党和国家方针政策及科普知识65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:rFonts w:ascii="仿宋_GB2312" w:hAnsi="仿宋_GB2312" w:eastAsia="仿宋_GB2312" w:cs="仿宋_GB2312" w:hint="eastAsia"/>
        </w:rPr>
        <w:t>条</w:t>
      </w:r>
      <w:r>
        <w:rPr>
          <w:color w:val="000000" w:themeColor="text1"/>
          <w:sz w:val="32"/>
          <w:lang w:eastAsia="zh-CN"/>
          <w:szCs w:val="32"/>
          <w14:textFill>
            <w14:solidFill>
              <w14:schemeClr w14:val="tx1"/>
            </w14:solidFill>
          </w14:textFill>
          <w:rFonts w:ascii="仿宋_GB2312" w:hAnsi="仿宋_GB2312" w:eastAsia="仿宋_GB2312" w:cs="仿宋_GB2312" w:hint="eastAsia"/>
        </w:rPr>
        <w:t>。所有公开信息全部</w:t>
      </w:r>
      <w:r>
        <w:rPr>
          <w:color w:val="auto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围绕</w:t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t>安全生产、政策宣传</w:t>
      </w:r>
      <w:r>
        <w:rPr>
          <w:color w:val="auto"/>
          <w:sz w:val="32"/>
          <w:lang w:eastAsia="zh-CN"/>
          <w:szCs w:val="32"/>
          <w:rFonts w:ascii="仿宋_GB2312" w:hAnsi="仿宋_GB2312" w:eastAsia="仿宋_GB2312" w:cs="仿宋_GB2312" w:hint="eastAsia"/>
        </w:rPr>
        <w:t>、六助服务、人社服务圈、食品安全、科普宣传、</w:t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t>环境卫生综合治理、</w:t>
      </w:r>
      <w:r>
        <w:rPr>
          <w:b w:val="0"/>
          <w:sz w:val="32"/>
          <w:lang w:val="en-US" w:eastAsia="zh-CN"/>
          <w:bCs/>
          <w:szCs w:val="32"/>
          <w:rFonts w:ascii="仿宋_GB2312" w:hAnsi="仿宋_GB2312" w:eastAsia="仿宋_GB2312" w:cs="仿宋_GB2312" w:hint="eastAsia"/>
        </w:rPr>
        <w:t>党员活动、节日慰问</w:t>
      </w:r>
      <w:r>
        <w:rPr>
          <w:color w:val="auto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等街道重点中心工作相关发布，进一步提高政府信息公开的全面性、真实性，切实做到规定公开内容全面覆盖。</w:t>
      </w:r>
    </w:p>
    <w:p w14:paraId="3290025A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ind w:firstLine="640" w:firstLineChars="200"/>
        <w:rPr>
          <w:color w:val="auto"/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/>
          <w:szCs w:val="32"/>
          <w:rFonts w:ascii="楷体_GB2312" w:hAnsi="楷体_GB2312" w:eastAsia="楷体_GB2312" w:cs="楷体_GB2312" w:hint="eastAsia"/>
        </w:rPr>
        <w:t>（二）依申请公开情况。</w:t>
      </w:r>
      <w:r>
        <w:rPr>
          <w:color w:val="auto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2025年新安街道未收到公开申请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，未出现因政务信息公开工作被申请行政复议、提起行政诉讼情况。</w:t>
      </w:r>
    </w:p>
    <w:p w14:paraId="32687FBD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ind w:firstLine="640" w:firstLineChars="200"/>
        <w:rPr>
          <w:color w:val="auto"/>
          <w:sz w:val="32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szCs w:val="32"/>
          <w:rFonts w:ascii="楷体_GB2312" w:hAnsi="楷体_GB2312" w:eastAsia="楷体_GB2312" w:cs="楷体_GB2312" w:hint="eastAsia"/>
        </w:rPr>
        <w:t>（三）政府信息管理</w:t>
      </w:r>
      <w:r>
        <w:rPr>
          <w:color w:val="auto"/>
          <w:sz w:val="32"/>
          <w:lang w:val="en-US" w:eastAsia="zh-CN"/>
          <w:szCs w:val="32"/>
          <w:rFonts w:ascii="楷体_GB2312" w:hAnsi="楷体_GB2312" w:eastAsia="楷体_GB2312" w:cs="楷体_GB2312" w:hint="eastAsia"/>
        </w:rPr>
        <w:t>情况。</w:t>
      </w:r>
      <w:r>
        <w:rPr>
          <w:color w:val="000000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街道办认真落实《中华人民共和国政府信息公开条例》，严格落实日常管理责任，确保信息公开及时、准确。街道办事处高度重视政府信息公开工作，精心组织，明确职责分工，由办事处主任全面负责政府信息公开工作，各岗位工作人员负责日常管理和综合协调，确保信息公开工作高效有序运转。按照“谁主管、谁公开、谁负责”的原则，确保政府信息公开工作在每个岗位、每个环节都有人管、管得好。及时更新信息动态，进一步提升政府的执行力与公信力。</w:t>
      </w:r>
    </w:p>
    <w:p w14:paraId="6445B4DE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ind w:firstLine="640" w:firstLineChars="200"/>
        <w:rPr>
          <w:color w:val="auto"/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/>
          <w:szCs w:val="32"/>
          <w:rFonts w:ascii="楷体_GB2312" w:hAnsi="楷体_GB2312" w:eastAsia="楷体_GB2312" w:cs="楷体_GB2312" w:hint="eastAsia"/>
        </w:rPr>
        <w:t>（四）监督保障情况。</w:t>
      </w:r>
      <w:r>
        <w:rPr>
          <w:color w:val="000000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街道办事处高度重视，政府信息公开工作，紧密结合街道实际情况，全面统筹安排政务公开工作。同时</w:t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t>鼓励广大群众及街道干部积极参与政府信息公开发布的监督</w:t>
      </w:r>
      <w:r>
        <w:rPr>
          <w:color w:val="auto"/>
          <w:sz w:val="32"/>
          <w:lang w:eastAsia="zh-CN"/>
          <w:szCs w:val="32"/>
          <w:rFonts w:ascii="仿宋_GB2312" w:hAnsi="仿宋_GB2312" w:eastAsia="仿宋_GB2312" w:cs="仿宋_GB2312" w:hint="eastAsia"/>
        </w:rPr>
        <w:t>，</w:t>
      </w:r>
      <w:r>
        <w:rPr>
          <w:color w:val="auto"/>
          <w:sz w:val="32"/>
          <w:szCs w:val="32"/>
          <w:rFonts w:ascii="仿宋_GB2312" w:hAnsi="仿宋_GB2312" w:eastAsia="仿宋_GB2312" w:cs="仿宋_GB2312" w:hint="eastAsia"/>
        </w:rPr>
        <w:t>广泛听取基层和群众对信息公开工作的意见和要求，充分发挥社会监督作用，确保公开内容的真实性、全面性和有效性。</w:t>
      </w:r>
    </w:p>
    <w:p w14:paraId="3C7F3A1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ind w:firstLine="640" w:firstLineChars="200"/>
        <w:rPr>
          <w:color w:val="auto"/>
          <w:sz w:val="32"/>
          <w:szCs w:val="32"/>
          <w:rFonts w:ascii="黑体" w:hAnsi="黑体" w:eastAsia="黑体" w:cs="黑体" w:hint="eastAsia"/>
        </w:rPr>
      </w:pPr>
      <w:r>
        <w:rPr>
          <w:color w:val="auto"/>
          <w:sz w:val="32"/>
          <w:lang w:val="en-US" w:eastAsia="zh-CN"/>
          <w:szCs w:val="32"/>
          <w:rFonts w:ascii="黑体" w:hAnsi="黑体" w:eastAsia="黑体" w:cs="黑体" w:hint="eastAsia"/>
        </w:rPr>
        <w:t>二、主动公开政府信息情况</w:t>
      </w:r>
    </w:p>
    <w:tbl>
      <w:tblPr>
        <w:tblStyle w:val="5"/>
        <w:tblW w:w="0" w:type="auto"/>
        <w:jc w:val="center"/>
        <w:tblLayout w:type="fixed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2430.000000"/>
        <w:gridCol w:w="2430.000000"/>
        <w:gridCol w:w="2430.000000"/>
        <w:gridCol w:w="2445.000000"/>
      </w:tblGrid>
      <w:tr w14:paraId="374A6C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3A3A36D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第二十条第（一）项</w:t>
            </w:r>
          </w:p>
        </w:tc>
      </w:tr>
      <w:tr w14:paraId="3432644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45" w:hRule="atLeast"/>
          <w:jc w:val="center"/>
        </w:trPr>
        <w:tc>
          <w:tcPr>
            <w:tcW w:w="243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5320B5D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信息内容</w:t>
            </w:r>
          </w:p>
        </w:tc>
        <w:tc>
          <w:tcPr>
            <w:tcW w:w="2430" w:type="dxa"/>
            <w:vAlign w:val="center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A9366CD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本年制发件数</w:t>
            </w:r>
          </w:p>
        </w:tc>
        <w:tc>
          <w:tcPr>
            <w:tcW w:w="2430" w:type="dxa"/>
            <w:vAlign w:val="center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73C6AE3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本年废止件数</w:t>
            </w:r>
          </w:p>
        </w:tc>
        <w:tc>
          <w:tcPr>
            <w:tcW w:w="2445" w:type="dxa"/>
            <w:vAlign w:val="center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0F309CC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现行有效件数</w:t>
            </w:r>
          </w:p>
        </w:tc>
      </w:tr>
      <w:tr w14:paraId="45D04C1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45" w:hRule="atLeast"/>
          <w:jc w:val="center"/>
        </w:trPr>
        <w:tc>
          <w:tcPr>
            <w:tcW w:w="243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C208625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规章</w:t>
            </w:r>
          </w:p>
        </w:tc>
        <w:tc>
          <w:tcPr>
            <w:tcW w:w="2430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E682B83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2430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EC24C63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2445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73F326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5F692F4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45" w:hRule="atLeast"/>
          <w:jc w:val="center"/>
        </w:trPr>
        <w:tc>
          <w:tcPr>
            <w:tcW w:w="243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A01958C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行政规范性文件</w:t>
            </w:r>
          </w:p>
        </w:tc>
        <w:tc>
          <w:tcPr>
            <w:tcW w:w="2430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1C1D672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2430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191F2D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2445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95072E0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45B27C5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E397C47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第二十条第（五）项</w:t>
            </w:r>
          </w:p>
        </w:tc>
      </w:tr>
      <w:tr w14:paraId="0732B8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45" w:hRule="atLeast"/>
          <w:jc w:val="center"/>
        </w:trPr>
        <w:tc>
          <w:tcPr>
            <w:tcW w:w="243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E08C6A2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信息内容</w:t>
            </w:r>
          </w:p>
        </w:tc>
        <w:tc>
          <w:tcPr>
            <w:tcW w:w="7305" w:type="dxa"/>
            <w:gridSpan w:val="3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A66BE9A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本年处理决定数量</w:t>
            </w:r>
          </w:p>
        </w:tc>
      </w:tr>
      <w:tr w14:paraId="12C1D38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45" w:hRule="atLeast"/>
          <w:jc w:val="center"/>
        </w:trPr>
        <w:tc>
          <w:tcPr>
            <w:tcW w:w="243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658BF5C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行政许可</w:t>
            </w:r>
          </w:p>
        </w:tc>
        <w:tc>
          <w:tcPr>
            <w:tcW w:w="7305" w:type="dxa"/>
            <w:gridSpan w:val="3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E547912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55012F1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51AEA5A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第二十条第（六）项</w:t>
            </w:r>
          </w:p>
        </w:tc>
      </w:tr>
      <w:tr w14:paraId="1F0F5C5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45" w:hRule="atLeast"/>
          <w:jc w:val="center"/>
        </w:trPr>
        <w:tc>
          <w:tcPr>
            <w:tcW w:w="243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8036865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信息内容</w:t>
            </w:r>
          </w:p>
        </w:tc>
        <w:tc>
          <w:tcPr>
            <w:tcW w:w="7305" w:type="dxa"/>
            <w:gridSpan w:val="3"/>
            <w:vAlign w:val="center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A35E626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本年处理决定数量</w:t>
            </w:r>
          </w:p>
        </w:tc>
      </w:tr>
      <w:tr w14:paraId="63D95B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45" w:hRule="atLeast"/>
          <w:jc w:val="center"/>
        </w:trPr>
        <w:tc>
          <w:tcPr>
            <w:tcW w:w="243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574C076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行政处罚</w:t>
            </w:r>
          </w:p>
        </w:tc>
        <w:tc>
          <w:tcPr>
            <w:tcW w:w="7305" w:type="dxa"/>
            <w:gridSpan w:val="3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0873222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752320A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45" w:hRule="atLeast"/>
          <w:jc w:val="center"/>
        </w:trPr>
        <w:tc>
          <w:tcPr>
            <w:tcW w:w="243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279804D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行政强制</w:t>
            </w:r>
          </w:p>
        </w:tc>
        <w:tc>
          <w:tcPr>
            <w:tcW w:w="7305" w:type="dxa"/>
            <w:gridSpan w:val="3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7FEEE4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537A30F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DD2D5EA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第二十条第（八）项</w:t>
            </w:r>
          </w:p>
        </w:tc>
      </w:tr>
      <w:tr w14:paraId="3137DF3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45" w:hRule="atLeast"/>
          <w:jc w:val="center"/>
        </w:trPr>
        <w:tc>
          <w:tcPr>
            <w:tcW w:w="243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2C80515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信息内容</w:t>
            </w:r>
          </w:p>
        </w:tc>
        <w:tc>
          <w:tcPr>
            <w:tcW w:w="7305" w:type="dxa"/>
            <w:gridSpan w:val="3"/>
            <w:vAlign w:val="center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768D57C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本年收费金额（单位：万元）</w:t>
            </w:r>
          </w:p>
        </w:tc>
      </w:tr>
      <w:tr w14:paraId="0C96D43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345" w:hRule="atLeast"/>
          <w:jc w:val="center"/>
        </w:trPr>
        <w:tc>
          <w:tcPr>
            <w:tcW w:w="243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789FFD4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行政事业性收费</w:t>
            </w:r>
          </w:p>
        </w:tc>
        <w:tc>
          <w:tcPr>
            <w:tcW w:w="7305" w:type="dxa"/>
            <w:gridSpan w:val="3"/>
            <w:vAlign w:val="center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B0BA185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</w:tbl>
    <w:p w14:paraId="4C5277B2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ind w:firstLine="640" w:firstLineChars="200"/>
        <w:rPr>
          <w:sz w:val="32"/>
          <w:lang w:val="en-US" w:eastAsia="zh-CN"/>
          <w:szCs w:val="32"/>
          <w:rFonts w:ascii="黑体" w:hAnsi="黑体" w:eastAsia="黑体" w:cs="黑体" w:hint="eastAsia"/>
        </w:rPr>
      </w:pPr>
      <w:r>
        <w:rPr>
          <w:sz w:val="32"/>
          <w:lang w:val="en-US" w:eastAsia="zh-CN"/>
          <w:szCs w:val="32"/>
          <w:rFonts w:ascii="黑体" w:hAnsi="黑体" w:eastAsia="黑体" w:cs="黑体" w:hint="eastAsia"/>
        </w:rPr>
        <w:t>三、收到和处理政府信息公开申请情况</w:t>
      </w:r>
    </w:p>
    <w:tbl>
      <w:tblPr>
        <w:tblStyle w:val="5"/>
        <w:tblW w:w="0" w:type="auto"/>
        <w:jc w:val="center"/>
        <w:tblLayout w:type="fixed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760.000000"/>
        <w:gridCol w:w="941.000000"/>
        <w:gridCol w:w="3205.000000"/>
        <w:gridCol w:w="692.000000"/>
        <w:gridCol w:w="692.000000"/>
        <w:gridCol w:w="692.000000"/>
        <w:gridCol w:w="692.000000"/>
        <w:gridCol w:w="692.000000"/>
        <w:gridCol w:w="692.000000"/>
        <w:gridCol w:w="692.000000"/>
      </w:tblGrid>
      <w:tr w14:paraId="0B2C820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vAlign w:val="center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7E6FE531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vAlign w:val="center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98541F3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申请人情况</w:t>
            </w:r>
          </w:p>
        </w:tc>
      </w:tr>
      <w:tr w14:paraId="1C86EAB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vAlign w:val="center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7CF5F040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692" w:type="dxa"/>
            <w:vMerge w:val="restart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F9BAE13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自然人</w:t>
            </w:r>
          </w:p>
        </w:tc>
        <w:tc>
          <w:tcPr>
            <w:tcW w:w="3460" w:type="dxa"/>
            <w:gridSpan w:val="5"/>
            <w:vAlign w:val="center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4DDF111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法人或其他组织</w:t>
            </w:r>
          </w:p>
        </w:tc>
        <w:tc>
          <w:tcPr>
            <w:tcW w:w="692" w:type="dxa"/>
            <w:vMerge w:val="restart"/>
            <w:vAlign w:val="center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F834D1F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总计</w:t>
            </w:r>
          </w:p>
        </w:tc>
      </w:tr>
      <w:tr w14:paraId="7BBA5E9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vAlign w:val="center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220581E7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692" w:type="dxa"/>
            <w:vMerge w:val="continue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1DFB209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8D3B3B3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商业</w:t>
            </w:r>
          </w:p>
          <w:p w14:paraId="12CAE070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企业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30CEFE7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科研</w:t>
            </w:r>
          </w:p>
          <w:p w14:paraId="3DAF67F8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机构</w:t>
            </w:r>
          </w:p>
        </w:tc>
        <w:tc>
          <w:tcPr>
            <w:tcW w:w="692" w:type="dxa"/>
            <w:vAlign w:val="center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986D191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社会公益组织</w:t>
            </w:r>
          </w:p>
        </w:tc>
        <w:tc>
          <w:tcPr>
            <w:tcW w:w="692" w:type="dxa"/>
            <w:vAlign w:val="center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1FDB900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法律服务机构</w:t>
            </w:r>
          </w:p>
        </w:tc>
        <w:tc>
          <w:tcPr>
            <w:tcW w:w="692" w:type="dxa"/>
            <w:vAlign w:val="center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EA6CA76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其他</w:t>
            </w:r>
          </w:p>
        </w:tc>
        <w:tc>
          <w:tcPr>
            <w:tcW w:w="692" w:type="dxa"/>
            <w:vMerge w:val="continue"/>
            <w:vAlign w:val="center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599F95C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</w:tr>
      <w:tr w14:paraId="4DEBAF0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4906" w:type="dxa"/>
            <w:gridSpan w:val="3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7E4E7B0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一、本年新收政府信息公开申请数量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704C234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B5E3BC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E667EC1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DF99DA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962D5C4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60E207E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4976A93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6C2E40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4906" w:type="dxa"/>
            <w:gridSpan w:val="3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BFE7D2F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二、上年结转政府信息公开申请数量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FF5640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7C10D3F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62C3A23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079556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66D7A2B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0F20BF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CA097DB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1E9C8E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restart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54A2B64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三、本年度办理结果</w:t>
            </w:r>
          </w:p>
        </w:tc>
        <w:tc>
          <w:tcPr>
            <w:tcW w:w="4146" w:type="dxa"/>
            <w:gridSpan w:val="2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E6A5938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（一）予以公开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A124E9F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74BAE4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71CEB40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971CAC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D48428F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3ED5530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18E6FCF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22F145F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346FF76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4146" w:type="dxa"/>
            <w:gridSpan w:val="2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E6F66E8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（二）部分公开（区分处理的，只计这一情形，不计其他情形）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A9D3373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724813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D139B8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CA53B60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83E9643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A45F8C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9CE5152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263B8A0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BCC7370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restart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C5A1B74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（三）不予公开</w:t>
            </w:r>
          </w:p>
        </w:tc>
        <w:tc>
          <w:tcPr>
            <w:tcW w:w="3205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A5C2799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1.属于国家秘密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0F882D5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A33B48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0EE8960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F7D819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2DE882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C1DFE8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9591461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1B9F53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69C04A7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continue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4997399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3205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ED648E3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2.其他法律行政法规禁止公开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FBB9633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3710788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3AA216B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2C704C2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9D95EF0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C89426B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8B7AA6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55C57FF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C21CDDF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continue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47C1ED6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3205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1987ECF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3.危及“三安全一稳定”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A7C667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1389FA9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AB2A512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86BA4A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983C83B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327531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5B2C33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478E500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64C56F3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continue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F8A6D61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3205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B06EF27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4.保护第三方合法权益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96EDFD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BE10B8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FB589D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040CEE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4DA6235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E454420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B3B1B70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1D03F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A2DDB08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continue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7828689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3205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333E021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5.属于三类内部事务信息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4EB7A6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1959172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A96611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74301B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663EBB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5218E3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36ED93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48925B2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604C926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continue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85EAA51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3205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C6EC34A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6.属于四类过程性信息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71AF781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AFDEAC0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F1095D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9DF7200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02F9883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ED386BE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EB23D15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5242A7F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B92BF1F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continue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86FC517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3205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D168A92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7.属于行政执法案卷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ED2E59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A081720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641C0D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2304A7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732257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99B90B8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7F80281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7E8F90D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97B195F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continue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1946F41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3205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1D957B9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8.属于行政查询事项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A6E3E4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B601619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D2F2799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7221C7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F7B004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275BAD3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2B289CB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79723F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10A2072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restart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C3757FB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（四）无法提供</w:t>
            </w:r>
          </w:p>
        </w:tc>
        <w:tc>
          <w:tcPr>
            <w:tcW w:w="3205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1A7A20D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1.本机关不掌握相关政府信息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BDAFFCE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CCAE6F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53203DF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8314D7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60AE60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52F271F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568766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622D349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2EC4A64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continue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5C86987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3205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F05CE5D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2.没有现成信息需要另行制作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4D6F9A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20C0E5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CCC495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3FF6BF9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1450E44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1F52545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2BB5B2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64BD25C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7FE3B0E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continue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864977B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3205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8A901AE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3.补正后申请内容仍不明确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734408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28FF7A5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AA1AEB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5D8D7A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47C826E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B7F53C5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29D7978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02EB5A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411105D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restart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F8BF49F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（五）不予处理</w:t>
            </w:r>
          </w:p>
        </w:tc>
        <w:tc>
          <w:tcPr>
            <w:tcW w:w="3205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BB263E4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1.信访举报投诉类申请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F8BDCC4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9794D8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1C0CC65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D163608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E0B7AEB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5A0D041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6504763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4918F1B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80B24DD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continue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5A8F444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3205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2FE5A05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2.重复申请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B96A67E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162F55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31F40C0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9D7E0D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69ED75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4F6491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7F88E61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3FB3B55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F4D1E21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continue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99AACDE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3205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54D1017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3.要求提供公开出版物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E62C79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47E843E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7CC473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4525544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854B00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3D606B3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54C046F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719743B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07EC9B3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continue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F88DF33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3205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51C4E53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4.无正当理由大量反复申请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78B7C7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FE69FA3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C1ADE23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5722B9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09366A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3A567D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A2A83F5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03760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CB056B8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continue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82414D2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3205" w:type="dxa"/>
            <w:vAlign w:val="center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67842A8">
            <w:pPr>
              <w:pStyle w:val="4"/>
              <w:widowControl w:val="1"/>
              <w:keepNext w:val="0"/>
              <w:keepLines w:val="0"/>
              <w:jc w:val="both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5.要求行政机关确认或重新出具已获取信息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0D6587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4377684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3577B6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F3E8F63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C6B8984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140867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B45C6EB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67BE976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BAE48F8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restart"/>
            <w:vAlign w:val="center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6527352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（六）其他处理</w:t>
            </w:r>
          </w:p>
        </w:tc>
        <w:tc>
          <w:tcPr>
            <w:tcW w:w="3205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5A5E972">
            <w:pPr>
              <w:pStyle w:val="4"/>
              <w:widowControl w:val="1"/>
              <w:keepNext w:val="0"/>
              <w:keepLines w:val="0"/>
              <w:jc w:val="both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4C1FFA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F5CF180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2EC6D0F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B101F2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3582D6F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A85857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80ABC4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4CDF290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2581632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continue"/>
            <w:vAlign w:val="center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4D762A6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3205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05FB063">
            <w:pPr>
              <w:pStyle w:val="4"/>
              <w:widowControl w:val="1"/>
              <w:keepNext w:val="0"/>
              <w:keepLines w:val="0"/>
              <w:jc w:val="both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61878E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B97B7F8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256ED4F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8878B8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395A72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469D0D2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F5486AB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6C14311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97B46AD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941" w:type="dxa"/>
            <w:vMerge w:val="continue"/>
            <w:vAlign w:val="center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FEA8498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3205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B5259BA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3.其他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93F7E7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C11816F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0C4AC3B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5EE6DA00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387DDC8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00DEE94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EA6FE11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442558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760" w:type="dxa"/>
            <w:vMerge w:val="continue"/>
            <w:vAlign w:val="center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158F442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4146" w:type="dxa"/>
            <w:gridSpan w:val="2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E15EA8D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（七）总计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A93A8A9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72B68E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7E9E3309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9AEB29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469AA431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4B49459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75717E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  <w:tr w14:paraId="318C9A3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4906" w:type="dxa"/>
            <w:gridSpan w:val="3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1D84C9B9">
            <w:pPr>
              <w:pStyle w:val="4"/>
              <w:widowControl w:val="1"/>
              <w:keepNext w:val="0"/>
              <w:keepLines w:val="0"/>
              <w:jc w:val="left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四、结转下年度继续办理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23E4B35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E681A8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39811AC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0202597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3E567B10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center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6682E9AA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92" w:type="dxa"/>
            <w:vAlign w:val="top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noWrap w:val="0"/>
          </w:tcPr>
          <w:p w14:paraId="206A8CD5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</w:tbl>
    <w:p w14:paraId="3BE2AAB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黑体" w:hAnsi="黑体" w:eastAsia="黑体" w:cs="黑体" w:hint="eastAsia"/>
        </w:rPr>
        <w:t>四、政府信息公开行政复议、行政诉讼情况</w:t>
      </w:r>
      <w:bookmarkStart w:id="0" w:name="_GoBack"/>
      <w:bookmarkEnd w:id="0"/>
    </w:p>
    <w:tbl>
      <w:tblPr>
        <w:tblStyle w:val="5"/>
        <w:tblW w:w="0" w:type="auto"/>
        <w:jc w:val="center"/>
        <w:tblLayout w:type="fixed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650.000000"/>
        <w:gridCol w:w="650.000000"/>
        <w:gridCol w:w="650.000000"/>
        <w:gridCol w:w="650.000000"/>
        <w:gridCol w:w="650.000000"/>
        <w:gridCol w:w="650.000000"/>
        <w:gridCol w:w="650.000000"/>
        <w:gridCol w:w="650.000000"/>
        <w:gridCol w:w="650.000000"/>
        <w:gridCol w:w="650.000000"/>
        <w:gridCol w:w="650.000000"/>
        <w:gridCol w:w="650.000000"/>
        <w:gridCol w:w="650.000000"/>
        <w:gridCol w:w="650.000000"/>
        <w:gridCol w:w="650.000000"/>
      </w:tblGrid>
      <w:tr w14:paraId="436C500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3250" w:type="dxa"/>
            <w:gridSpan w:val="5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32DBE79A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行政复议</w:t>
            </w:r>
          </w:p>
        </w:tc>
        <w:tc>
          <w:tcPr>
            <w:tcW w:w="6500" w:type="dxa"/>
            <w:gridSpan w:val="10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47CBEC8C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行政诉讼</w:t>
            </w:r>
          </w:p>
        </w:tc>
      </w:tr>
      <w:tr w14:paraId="3F74367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650" w:type="dxa"/>
            <w:vMerge w:val="restart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3CBE119B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结果维持</w:t>
            </w:r>
          </w:p>
        </w:tc>
        <w:tc>
          <w:tcPr>
            <w:tcW w:w="650" w:type="dxa"/>
            <w:vMerge w:val="restart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3FAD7DB0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9"/>
                <w:lang w:eastAsia="zh-CN"/>
                <w:iCs w:val="0"/>
                <w:szCs w:val="19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结果</w:t>
            </w:r>
          </w:p>
          <w:p w14:paraId="0596E792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纠正</w:t>
            </w:r>
          </w:p>
        </w:tc>
        <w:tc>
          <w:tcPr>
            <w:tcW w:w="650" w:type="dxa"/>
            <w:vMerge w:val="restart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17E6B616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9"/>
                <w:lang w:eastAsia="zh-CN"/>
                <w:iCs w:val="0"/>
                <w:szCs w:val="19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其他</w:t>
            </w:r>
          </w:p>
          <w:p w14:paraId="40CBDBAC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结果</w:t>
            </w:r>
          </w:p>
        </w:tc>
        <w:tc>
          <w:tcPr>
            <w:tcW w:w="650" w:type="dxa"/>
            <w:vMerge w:val="restart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53D1BA7F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9"/>
                <w:lang w:eastAsia="zh-CN"/>
                <w:iCs w:val="0"/>
                <w:szCs w:val="19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尚未</w:t>
            </w:r>
          </w:p>
          <w:p w14:paraId="263C66D5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审结</w:t>
            </w:r>
          </w:p>
        </w:tc>
        <w:tc>
          <w:tcPr>
            <w:tcW w:w="650" w:type="dxa"/>
            <w:vMerge w:val="restart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70325D64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总计</w:t>
            </w:r>
          </w:p>
        </w:tc>
        <w:tc>
          <w:tcPr>
            <w:tcW w:w="3250" w:type="dxa"/>
            <w:gridSpan w:val="5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1962B82C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未经复议直接起诉</w:t>
            </w:r>
          </w:p>
        </w:tc>
        <w:tc>
          <w:tcPr>
            <w:tcW w:w="3250" w:type="dxa"/>
            <w:gridSpan w:val="5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1E5D179D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复议后起诉</w:t>
            </w:r>
          </w:p>
        </w:tc>
      </w:tr>
      <w:tr w14:paraId="12E2A28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jc w:val="center"/>
        </w:trPr>
        <w:tc>
          <w:tcPr>
            <w:tcW w:w="650" w:type="dxa"/>
            <w:vMerge w:val="continue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2307DA50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650" w:type="dxa"/>
            <w:vMerge w:val="continue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3DA72DA7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650" w:type="dxa"/>
            <w:vMerge w:val="continue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7A76BC64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650" w:type="dxa"/>
            <w:vMerge w:val="continue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380B0B28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650" w:type="dxa"/>
            <w:vMerge w:val="continue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038AC3D1">
            <w:pPr>
              <w:jc w:val="left"/>
              <w:rPr>
                <w:i w:val="0"/>
                <w:color w:val="auto"/>
                <w:spacing w:val="0"/>
                <w:sz w:val="18"/>
                <w:iCs w:val="0"/>
                <w:szCs w:val="18"/>
                <w:rFonts w:ascii="仿宋" w:hAnsi="仿宋" w:eastAsia="仿宋" w:cs="仿宋" w:hint="eastAsia"/>
              </w:rPr>
            </w:pP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2CA8DF95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9"/>
                <w:lang w:eastAsia="zh-CN"/>
                <w:iCs w:val="0"/>
                <w:szCs w:val="19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结果</w:t>
            </w:r>
          </w:p>
          <w:p w14:paraId="6F6AAE40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维持</w:t>
            </w: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49F7642A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9"/>
                <w:lang w:eastAsia="zh-CN"/>
                <w:iCs w:val="0"/>
                <w:szCs w:val="19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结果</w:t>
            </w:r>
          </w:p>
          <w:p w14:paraId="23931CEC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纠正</w:t>
            </w:r>
          </w:p>
        </w:tc>
        <w:tc>
          <w:tcPr>
            <w:tcW w:w="650" w:type="dxa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21A738B3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9"/>
                <w:lang w:eastAsia="zh-CN"/>
                <w:iCs w:val="0"/>
                <w:szCs w:val="19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其他</w:t>
            </w:r>
          </w:p>
          <w:p w14:paraId="73A2EBA3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结果</w:t>
            </w:r>
          </w:p>
        </w:tc>
        <w:tc>
          <w:tcPr>
            <w:tcW w:w="650" w:type="dxa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5656693D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9"/>
                <w:lang w:eastAsia="zh-CN"/>
                <w:iCs w:val="0"/>
                <w:szCs w:val="19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尚未</w:t>
            </w:r>
          </w:p>
          <w:p w14:paraId="231F815F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审结</w:t>
            </w:r>
          </w:p>
        </w:tc>
        <w:tc>
          <w:tcPr>
            <w:tcW w:w="650" w:type="dxa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30F8A329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总计</w:t>
            </w:r>
          </w:p>
        </w:tc>
        <w:tc>
          <w:tcPr>
            <w:tcW w:w="650" w:type="dxa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1B8BE8BB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9"/>
                <w:lang w:eastAsia="zh-CN"/>
                <w:iCs w:val="0"/>
                <w:szCs w:val="19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结果</w:t>
            </w:r>
          </w:p>
          <w:p w14:paraId="1B1C2F90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维持</w:t>
            </w:r>
          </w:p>
        </w:tc>
        <w:tc>
          <w:tcPr>
            <w:tcW w:w="650" w:type="dxa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260FB3B4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9"/>
                <w:lang w:eastAsia="zh-CN"/>
                <w:iCs w:val="0"/>
                <w:szCs w:val="19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结果</w:t>
            </w:r>
          </w:p>
          <w:p w14:paraId="01A62CCC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纠正</w:t>
            </w:r>
          </w:p>
        </w:tc>
        <w:tc>
          <w:tcPr>
            <w:tcW w:w="650" w:type="dxa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113D14B0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9"/>
                <w:lang w:eastAsia="zh-CN"/>
                <w:iCs w:val="0"/>
                <w:szCs w:val="19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其他</w:t>
            </w:r>
          </w:p>
          <w:p w14:paraId="0FBFE0B2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结果</w:t>
            </w:r>
          </w:p>
        </w:tc>
        <w:tc>
          <w:tcPr>
            <w:tcW w:w="650" w:type="dxa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0C597900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9"/>
                <w:lang w:eastAsia="zh-CN"/>
                <w:iCs w:val="0"/>
                <w:szCs w:val="19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尚未</w:t>
            </w:r>
          </w:p>
          <w:p w14:paraId="0FDB9182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审结</w:t>
            </w:r>
          </w:p>
        </w:tc>
        <w:tc>
          <w:tcPr>
            <w:tcW w:w="650" w:type="dxa"/>
            <w:vAlign w:val="center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0E7F43DF">
            <w:pPr>
              <w:pStyle w:val="4"/>
              <w:widowControl w:val="1"/>
              <w:keepNext w:val="0"/>
              <w:keepLines w:val="0"/>
              <w:jc w:val="center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before="0" w:beforeAutospacing="0"/>
              <w:ind w:firstLine="0" w:left="0" w:right="0"/>
              <w:rPr>
                <w:color w:val="auto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9"/>
                <w:iCs w:val="0"/>
                <w:szCs w:val="19"/>
                <w:rFonts w:ascii="仿宋" w:hAnsi="仿宋" w:eastAsia="仿宋" w:cs="仿宋" w:hint="eastAsia"/>
              </w:rPr>
              <w:t>总计</w:t>
            </w:r>
          </w:p>
        </w:tc>
      </w:tr>
      <w:tr w14:paraId="036589C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75" w:hRule="atLeast"/>
          <w:jc w:val="center"/>
        </w:trPr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1670633E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1C08D60B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39402AB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674F2CDF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0809AB9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0BCEDD2D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0BCAD604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6D2529D8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6389D7E2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378CA8B6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4D222EF1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004E19E5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27DAD8D8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0D1A67F7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  <w:tc>
          <w:tcPr>
            <w:tcW w:w="650" w:type="dxa"/>
            <w:vAlign w:val="center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noWrap w:val="0"/>
          </w:tcPr>
          <w:p w14:paraId="5A69CB4B">
            <w:pPr>
              <w:widowControl w:val="1"/>
              <w:keepNext w:val="0"/>
              <w:keepLines w:val="0"/>
              <w:jc w:val="left"/>
              <w:suppressLineNumbers w:val="0"/>
              <w:spacing w:after="0" w:afterAutospacing="0" w:before="0" w:beforeAutospacing="0"/>
              <w:ind w:firstLine="0" w:left="0" w:right="0"/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</w:pPr>
            <w:r>
              <w:rPr>
                <w:i w:val="0"/>
                <w:color w:val="auto"/>
                <w:spacing w:val="0"/>
                <w:sz w:val="18"/>
                <w:lang w:val="en-US" w:eastAsia="zh-CN"/>
                <w:iCs w:val="0"/>
                <w:szCs w:val="18"/>
                <w:rFonts w:ascii="仿宋" w:hAnsi="仿宋" w:eastAsia="仿宋" w:cs="仿宋" w:hint="eastAsia"/>
              </w:rPr>
              <w:t>0</w:t>
            </w:r>
          </w:p>
        </w:tc>
      </w:tr>
    </w:tbl>
    <w:p w14:paraId="44E44190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1"/>
        </w:numPr>
        <w:spacing w:line="592" w:lineRule="exact"/>
        <w:ind w:firstLine="640" w:firstLineChars="200"/>
        <w:rPr>
          <w:sz w:val="32"/>
          <w:szCs w:val="32"/>
          <w:rFonts w:ascii="黑体" w:hAnsi="黑体" w:eastAsia="黑体" w:cs="黑体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存在的主要问题及改进情况</w:t>
      </w:r>
    </w:p>
    <w:p w14:paraId="36C1CFB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ind w:firstLine="640" w:firstLineChars="200"/>
        <w:rPr>
          <w:sz w:val="32"/>
          <w:lang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eastAsia="zh-CN"/>
          <w:szCs w:val="32"/>
          <w:rFonts w:ascii="楷体_GB2312" w:hAnsi="楷体_GB2312" w:eastAsia="楷体_GB2312" w:cs="楷体_GB2312" w:hint="eastAsia"/>
        </w:rPr>
        <w:t>（一）</w:t>
      </w:r>
      <w:r>
        <w:rPr>
          <w:sz w:val="32"/>
          <w:szCs w:val="32"/>
          <w:rFonts w:ascii="楷体_GB2312" w:hAnsi="楷体_GB2312" w:eastAsia="楷体_GB2312" w:cs="楷体_GB2312" w:hint="eastAsia"/>
        </w:rPr>
        <w:t>存在的主要问题</w:t>
      </w:r>
      <w:r>
        <w:rPr>
          <w:sz w:val="32"/>
          <w:lang w:eastAsia="zh-CN"/>
          <w:szCs w:val="32"/>
          <w:rFonts w:ascii="楷体_GB2312" w:hAnsi="楷体_GB2312" w:eastAsia="楷体_GB2312" w:cs="楷体_GB2312" w:hint="eastAsia"/>
        </w:rPr>
        <w:t>。</w:t>
      </w:r>
      <w:r>
        <w:rPr>
          <w:sz w:val="32"/>
          <w:szCs w:val="32"/>
          <w:rFonts w:ascii="仿宋_GB2312" w:hAnsi="仿宋_GB2312" w:eastAsia="仿宋_GB2312" w:cs="仿宋_GB2312" w:hint="eastAsia"/>
        </w:rPr>
        <w:t>202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5</w:t>
      </w:r>
      <w:r>
        <w:rPr>
          <w:sz w:val="32"/>
          <w:szCs w:val="32"/>
          <w:rFonts w:ascii="仿宋_GB2312" w:hAnsi="仿宋_GB2312" w:eastAsia="仿宋_GB2312" w:cs="仿宋_GB2312" w:hint="eastAsia"/>
        </w:rPr>
        <w:t>年，街道圆满完成政府信息公开年度任务指标，但对照新时代政务公开工作的高标准、严要求，结合基层治理实际需求，仍存在短板弱</w:t>
      </w:r>
      <w:r>
        <w:rPr>
          <w:b w:val="0"/>
          <w:sz w:val="32"/>
          <w:bCs w:val="0"/>
          <w:szCs w:val="32"/>
          <w:rFonts w:ascii="仿宋_GB2312" w:hAnsi="仿宋_GB2312" w:eastAsia="仿宋_GB2312" w:cs="仿宋_GB2312" w:hint="eastAsia"/>
        </w:rPr>
        <w:t>项</w:t>
      </w:r>
      <w:r>
        <w:rPr>
          <w:b w:val="0"/>
          <w:sz w:val="32"/>
          <w:lang w:eastAsia="zh-CN"/>
          <w:bCs w:val="0"/>
          <w:szCs w:val="32"/>
          <w:rFonts w:ascii="仿宋_GB2312" w:hAnsi="仿宋_GB2312" w:eastAsia="仿宋_GB2312" w:cs="仿宋_GB2312" w:hint="eastAsia"/>
        </w:rPr>
        <w:t>。</w:t>
      </w:r>
      <w:r>
        <w:rPr>
          <w:b w:val="0"/>
          <w:sz w:val="32"/>
          <w:bCs w:val="0"/>
          <w:szCs w:val="32"/>
          <w:rFonts w:ascii="仿宋_GB2312" w:hAnsi="仿宋_GB2312" w:eastAsia="仿宋_GB2312" w:cs="仿宋_GB2312" w:hint="eastAsia"/>
        </w:rPr>
        <w:t>一是复杂场景下依申请公开处置能力存在短板。对</w:t>
      </w:r>
      <w:r>
        <w:rPr>
          <w:b w:val="0"/>
          <w:sz w:val="32"/>
          <w:lang w:eastAsia="zh-CN"/>
          <w:bCs w:val="0"/>
          <w:szCs w:val="32"/>
          <w:rFonts w:ascii="仿宋_GB2312" w:hAnsi="仿宋_GB2312" w:eastAsia="仿宋_GB2312" w:cs="仿宋_GB2312" w:hint="eastAsia"/>
        </w:rPr>
        <w:t>群众</w:t>
      </w:r>
      <w:r>
        <w:rPr>
          <w:b w:val="0"/>
          <w:sz w:val="32"/>
          <w:bCs w:val="0"/>
          <w:szCs w:val="32"/>
          <w:rFonts w:ascii="仿宋_GB2312" w:hAnsi="仿宋_GB2312" w:eastAsia="仿宋_GB2312" w:cs="仿宋_GB2312" w:hint="eastAsia"/>
        </w:rPr>
        <w:t>诉求背后的深层动因研判不足，导致在信息甄别、政策解读、沟通回应等环节存在响应滞后、精准度不足的问题，未能充分实现从“被动应对”到“主动预判”的转变。二是专业化队伍建设与工作需求存在差距。信息公开工作人员的综合素养尚未完全适配工作高质量发展要求</w:t>
      </w:r>
      <w:r>
        <w:rPr>
          <w:b w:val="0"/>
          <w:sz w:val="32"/>
          <w:lang w:eastAsia="zh-CN"/>
          <w:bCs w:val="0"/>
          <w:szCs w:val="32"/>
          <w:rFonts w:ascii="仿宋_GB2312" w:hAnsi="仿宋_GB2312" w:eastAsia="仿宋_GB2312" w:cs="仿宋_GB2312" w:hint="eastAsia"/>
        </w:rPr>
        <w:t>。一方面</w:t>
      </w:r>
      <w:r>
        <w:rPr>
          <w:b w:val="0"/>
          <w:sz w:val="32"/>
          <w:bCs w:val="0"/>
          <w:szCs w:val="32"/>
          <w:rFonts w:ascii="仿宋_GB2312" w:hAnsi="仿宋_GB2312" w:eastAsia="仿宋_GB2312" w:cs="仿宋_GB2312" w:hint="eastAsia"/>
        </w:rPr>
        <w:t>是政策法规专业储备不扎实，对政府信息公开领域最新法律法规的理解和适用能力不足；另一方面是基层治理协同能力薄弱，在跨部门、跨层级信息协调、复杂问题统筹处置等方面缺乏有效方法，制约了工作效能提升。三是信息公开供给与公众需求匹配度不足。</w:t>
      </w:r>
      <w:r>
        <w:rPr>
          <w:b w:val="0"/>
          <w:sz w:val="32"/>
          <w:lang w:eastAsia="zh-CN"/>
          <w:bCs w:val="0"/>
          <w:szCs w:val="32"/>
          <w:rFonts w:ascii="仿宋_GB2312" w:hAnsi="仿宋_GB2312" w:eastAsia="仿宋_GB2312" w:cs="仿宋_GB2312" w:hint="eastAsia"/>
        </w:rPr>
        <w:t>目前</w:t>
      </w:r>
      <w:r>
        <w:rPr>
          <w:b w:val="0"/>
          <w:sz w:val="32"/>
          <w:bCs w:val="0"/>
          <w:szCs w:val="32"/>
          <w:rFonts w:ascii="仿宋_GB2312" w:hAnsi="仿宋_GB2312" w:eastAsia="仿宋_GB2312" w:cs="仿宋_GB2312" w:hint="eastAsia"/>
        </w:rPr>
        <w:t>公开内容多集中于常规政务流程，对群众高度关注的民生服务、公共事务决策过程、重点工作推进成效等领域的信息覆盖不全面</w:t>
      </w:r>
      <w:r>
        <w:rPr>
          <w:b w:val="0"/>
          <w:sz w:val="32"/>
          <w:lang w:eastAsia="zh-CN"/>
          <w:bCs w:val="0"/>
          <w:szCs w:val="32"/>
          <w:rFonts w:ascii="仿宋_GB2312" w:hAnsi="仿宋_GB2312" w:eastAsia="仿宋_GB2312" w:cs="仿宋_GB2312" w:hint="eastAsia"/>
        </w:rPr>
        <w:t>。</w:t>
      </w:r>
    </w:p>
    <w:p w14:paraId="63B82847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ind w:firstLine="640" w:firstLineChars="200"/>
        <w:rPr>
          <w:b w:val="0"/>
          <w:sz w:val="32"/>
          <w:lang w:val="en-US" w:eastAsia="zh-CN"/>
          <w:bCs w:val="0"/>
          <w:szCs w:val="32"/>
          <w:rFonts w:ascii="黑体" w:hAnsi="黑体" w:eastAsia="黑体" w:cs="黑体" w:hint="eastAsia"/>
        </w:rPr>
      </w:pPr>
      <w:r>
        <w:rPr>
          <w:sz w:val="32"/>
          <w:szCs w:val="32"/>
          <w:rFonts w:ascii="楷体_GB2312" w:hAnsi="楷体_GB2312" w:eastAsia="楷体_GB2312" w:cs="楷体_GB2312" w:hint="eastAsia"/>
        </w:rPr>
        <w:t>（二）</w:t>
      </w:r>
      <w:r>
        <w:rPr>
          <w:sz w:val="32"/>
          <w:lang w:eastAsia="zh-CN"/>
          <w:szCs w:val="32"/>
          <w:rFonts w:ascii="楷体_GB2312" w:hAnsi="楷体_GB2312" w:eastAsia="楷体_GB2312" w:cs="楷体_GB2312" w:hint="eastAsia"/>
        </w:rPr>
        <w:t>下一步</w:t>
      </w:r>
      <w:r>
        <w:rPr>
          <w:sz w:val="32"/>
          <w:szCs w:val="32"/>
          <w:rFonts w:ascii="楷体_GB2312" w:hAnsi="楷体_GB2312" w:eastAsia="楷体_GB2312" w:cs="楷体_GB2312" w:hint="eastAsia"/>
        </w:rPr>
        <w:t>改进措施</w:t>
      </w:r>
      <w:r>
        <w:rPr>
          <w:sz w:val="32"/>
          <w:lang w:eastAsia="zh-CN"/>
          <w:szCs w:val="32"/>
          <w:rFonts w:ascii="楷体_GB2312" w:hAnsi="楷体_GB2312" w:eastAsia="楷体_GB2312" w:cs="楷体_GB2312" w:hint="eastAsia"/>
        </w:rPr>
        <w:t>。</w:t>
      </w:r>
      <w:r>
        <w:rPr>
          <w:sz w:val="32"/>
          <w:szCs w:val="32"/>
          <w:rFonts w:ascii="仿宋_GB2312" w:hAnsi="仿宋_GB2312" w:eastAsia="仿宋_GB2312" w:cs="仿宋_GB2312" w:hint="eastAsia"/>
        </w:rPr>
        <w:t>202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6</w:t>
      </w:r>
      <w:r>
        <w:rPr>
          <w:sz w:val="32"/>
          <w:szCs w:val="32"/>
          <w:rFonts w:ascii="仿宋_GB2312" w:hAnsi="仿宋_GB2312" w:eastAsia="仿宋_GB2312" w:cs="仿宋_GB2312" w:hint="eastAsia"/>
        </w:rPr>
        <w:t>年，街道将以问题为导向、以需求为牵引，聚焦深层症结，构建系统化、长效化提升机制，推动政府信息公开工作从“完成任务”向“提质增效”转变，具体措施如下：</w:t>
      </w:r>
      <w:r>
        <w:rPr>
          <w:b w:val="0"/>
          <w:sz w:val="32"/>
          <w:bCs w:val="0"/>
          <w:szCs w:val="32"/>
          <w:rFonts w:ascii="仿宋_GB2312" w:hAnsi="仿宋_GB2312" w:eastAsia="仿宋_GB2312" w:cs="仿宋_GB2312" w:hint="eastAsia"/>
        </w:rPr>
        <w:t>一是结合街道实际完善信息公开工作细则、依申请公开处置流程等制度规范，明确各环节职责边界和时限要求；针对复杂疑难事</w:t>
      </w:r>
      <w:r>
        <w:rPr>
          <w:b w:val="0"/>
          <w:sz w:val="32"/>
          <w:lang w:eastAsia="zh-CN"/>
          <w:bCs w:val="0"/>
          <w:szCs w:val="32"/>
          <w:rFonts w:ascii="仿宋_GB2312" w:hAnsi="仿宋_GB2312" w:eastAsia="仿宋_GB2312" w:cs="仿宋_GB2312" w:hint="eastAsia"/>
        </w:rPr>
        <w:t>项进行会商</w:t>
      </w:r>
      <w:r>
        <w:rPr>
          <w:b w:val="0"/>
          <w:sz w:val="32"/>
          <w:bCs w:val="0"/>
          <w:szCs w:val="32"/>
          <w:rFonts w:ascii="仿宋_GB2312" w:hAnsi="仿宋_GB2312" w:eastAsia="仿宋_GB2312" w:cs="仿宋_GB2312" w:hint="eastAsia"/>
        </w:rPr>
        <w:t>，联动司法、法制等专业力量，提升处置的规范性和精准性。</w:t>
      </w:r>
      <w:r>
        <w:rPr>
          <w:b w:val="0"/>
          <w:sz w:val="32"/>
          <w:lang w:eastAsia="zh-CN"/>
          <w:bCs w:val="0"/>
          <w:szCs w:val="32"/>
          <w:rFonts w:ascii="仿宋_GB2312" w:hAnsi="仿宋_GB2312" w:eastAsia="仿宋_GB2312" w:cs="仿宋_GB2312" w:hint="eastAsia"/>
        </w:rPr>
        <w:t>二</w:t>
      </w:r>
      <w:r>
        <w:rPr>
          <w:b w:val="0"/>
          <w:sz w:val="32"/>
          <w:bCs w:val="0"/>
          <w:szCs w:val="32"/>
          <w:rFonts w:ascii="仿宋_GB2312" w:hAnsi="仿宋_GB2312" w:eastAsia="仿宋_GB2312" w:cs="仿宋_GB2312" w:hint="eastAsia"/>
        </w:rPr>
        <w:t>是推动信息公开工作“下沉一线、贴近群众”，通过社区走访、民意调研、线上征集等方式，精准掌握群众对政务信息的需求点；重点拓展民生保障、公共服务、重大项目推进、基层治理决策等领域的公开内容</w:t>
      </w:r>
      <w:r>
        <w:rPr>
          <w:b w:val="0"/>
          <w:sz w:val="32"/>
          <w:lang w:eastAsia="zh-CN"/>
          <w:bCs w:val="0"/>
          <w:szCs w:val="32"/>
          <w:rFonts w:ascii="仿宋_GB2312" w:hAnsi="仿宋_GB2312" w:eastAsia="仿宋_GB2312" w:cs="仿宋_GB2312" w:hint="eastAsia"/>
        </w:rPr>
        <w:t>，</w:t>
      </w:r>
      <w:r>
        <w:rPr>
          <w:b w:val="0"/>
          <w:sz w:val="32"/>
          <w:bCs w:val="0"/>
          <w:szCs w:val="32"/>
          <w:rFonts w:ascii="仿宋_GB2312" w:hAnsi="仿宋_GB2312" w:eastAsia="仿宋_GB2312" w:cs="仿宋_GB2312" w:hint="eastAsia"/>
        </w:rPr>
        <w:t>确保信息的时效性和实用性。</w:t>
      </w:r>
      <w:r>
        <w:rPr>
          <w:b w:val="0"/>
          <w:sz w:val="32"/>
          <w:lang w:eastAsia="zh-CN"/>
          <w:bCs w:val="0"/>
          <w:szCs w:val="32"/>
          <w:rFonts w:ascii="仿宋_GB2312" w:hAnsi="仿宋_GB2312" w:eastAsia="仿宋_GB2312" w:cs="仿宋_GB2312" w:hint="eastAsia"/>
        </w:rPr>
        <w:t>三</w:t>
      </w:r>
      <w:r>
        <w:rPr>
          <w:b w:val="0"/>
          <w:sz w:val="32"/>
          <w:bCs w:val="0"/>
          <w:szCs w:val="32"/>
          <w:rFonts w:ascii="仿宋_GB2312" w:hAnsi="仿宋_GB2312" w:eastAsia="仿宋_GB2312" w:cs="仿宋_GB2312" w:hint="eastAsia"/>
        </w:rPr>
        <w:t>是加强政府信息公开政策宣传解读，通过社区宣传栏、政务服务窗口、官方新媒体等渠道，向公众普及申请流程、权利边界、责任义务等知识，引导公众理性、规范提出申请；建立良性互动回应机制，对合理合法的申请快速响应、妥善处置，对不符合要求的申请耐心解释、明确指引，同时畅通意见反馈渠道，及时吸纳公众对信息公开工作的合理建议，推动形成“规范申请、高效回应、良性互动”的工作格局。</w:t>
      </w:r>
    </w:p>
    <w:p w14:paraId="7DD2D915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ind w:firstLine="640" w:firstLineChars="200"/>
        <w:rPr>
          <w:sz w:val="32"/>
          <w:lang w:val="en-US" w:eastAsia="zh-CN"/>
          <w:szCs w:val="32"/>
          <w:rFonts w:ascii="黑体" w:hAnsi="黑体" w:eastAsia="黑体" w:cs="黑体" w:hint="eastAsia"/>
        </w:rPr>
      </w:pPr>
      <w:r>
        <w:rPr>
          <w:sz w:val="32"/>
          <w:lang w:val="en-US" w:eastAsia="zh-CN"/>
          <w:szCs w:val="32"/>
          <w:rFonts w:ascii="黑体" w:hAnsi="黑体" w:eastAsia="黑体" w:cs="黑体" w:hint="eastAsia"/>
        </w:rPr>
        <w:t>六、其他需要报告的事项</w:t>
      </w:r>
    </w:p>
    <w:p w14:paraId="49C1F2AE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无其他需要报告的事项。</w:t>
      </w:r>
    </w:p>
    <w:p w14:paraId="554D7075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</w:p>
    <w:p w14:paraId="133FE8E4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</w:p>
    <w:p w14:paraId="52D55EF1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92" w:lineRule="exact"/>
        <w:rPr>
          <w:sz w:val="32"/>
          <w:lang w:val="en-US" w:eastAsia="zh-CN"/>
          <w:szCs w:val="32"/>
          <w:rFonts w:ascii="仿宋_GB2312" w:hAnsi="仿宋_GB2312" w:eastAsia="仿宋_GB2312" w:cs="仿宋_GB2312" w:hint="default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 xml:space="preserve">                     </w:t>
      </w:r>
    </w:p>
    <w:sectPr>
      <w:footerReference r:id="rId5" w:type="default"/>
      <w:docGrid w:type="lines" w:linePitch="312" w:charSpace="0"/>
      <w:pgSz w:w="11906" w:h="16838"/>
      <w:pgMar w:top="2098" w:right="1474" w:bottom="1984" w:left="1587" w:header="851" w:footer="992" w:gutter="0"/>
      <w:pgNumType w:fmt="numberInDash"/>
      <w:pgNumType w:fmt="numberInDash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12732A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C4D69">
                          <w:pPr>
                            <w:pStyle w:val="2"/>
                            <w:rPr>
                              <w:color w:val="000000"/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089A3917"/>
    <w:multiLevelType w:val="singleLevel"/>
    <w:tmpl w:val="089A391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72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90D04DA"/>
    <w:rsid w:val="00D01B63"/>
    <w:rsid w:val="014356DC"/>
    <w:rsid w:val="0251139B"/>
    <w:rsid w:val="072145DC"/>
    <w:rsid w:val="090D04DA"/>
    <w:rsid w:val="0BC616CA"/>
    <w:rsid w:val="0C9413AC"/>
    <w:rsid w:val="121C527B"/>
    <w:rsid w:val="150307A9"/>
    <w:rsid w:val="1BB90E2F"/>
    <w:rsid w:val="1D7071E3"/>
    <w:rsid w:val="1D807281"/>
    <w:rsid w:val="1ECF684B"/>
    <w:rsid w:val="1F20572E"/>
    <w:rsid w:val="23C465C3"/>
    <w:rsid w:val="24FE7990"/>
    <w:rsid w:val="2E0E0A12"/>
    <w:rsid w:val="2F5717F6"/>
    <w:rsid w:val="34784F8C"/>
    <w:rsid w:val="366003CD"/>
    <w:rsid w:val="3D7B2E94"/>
    <w:rsid w:val="40F807E9"/>
    <w:rsid w:val="428B0580"/>
    <w:rsid w:val="44A26055"/>
    <w:rsid w:val="46CF1560"/>
    <w:rsid w:val="47CA58D6"/>
    <w:rsid w:val="4CBB7CD4"/>
    <w:rsid w:val="4E5E4CBF"/>
    <w:rsid w:val="50A17ADE"/>
    <w:rsid w:val="524529C5"/>
    <w:rsid w:val="53CB2ED2"/>
    <w:rsid w:val="578A79F0"/>
    <w:rsid w:val="58DD7201"/>
    <w:rsid w:val="5C50639A"/>
    <w:rsid w:val="5C6C4B26"/>
    <w:rsid w:val="5EC97A43"/>
    <w:rsid w:val="61C359A4"/>
    <w:rsid w:val="64410921"/>
    <w:rsid w:val="65305110"/>
    <w:rsid w:val="680F65B1"/>
    <w:rsid w:val="687B4437"/>
    <w:rsid w:val="69AC6EAA"/>
    <w:rsid w:val="7BBD0B6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6" w:default="1">
    <w:name w:val="Default Paragraph Font"/>
    <w:uiPriority w:val="0"/>
    <w:semiHidden/>
    <w:qFormat/>
  </w:style>
  <w:style w:type="table" w:styleId="5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uiPriority w:val="0"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uiPriority w:val="0"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4">
    <w:name w:val="Normal (Web)"/>
    <w:basedOn w:val="1"/>
    <w:uiPriority w:val="0"/>
    <w:qFormat/>
    <w:pPr>
      <w:jc w:val="left"/>
      <w:spacing w:after="0" w:afterAutospacing="1" w:before="0" w:beforeAutospacing="1"/>
      <w:ind w:left="0" w:right="0"/>
    </w:pPr>
    <w:rPr>
      <w:sz w:val="24"/>
      <w:lang w:val="en-US" w:eastAsia="zh-CN" w:bidi="ar"/>
      <w:kern w:val="0"/>
    </w:rPr>
  </w:style>
  <w:style w:type="character" w:styleId="7">
    <w:name w:val="Hyperlink"/>
    <w:basedOn w:val="6"/>
    <w:uiPriority w:val="0"/>
    <w:qFormat/>
    <w:rPr>
      <w:u w:val="single"/>
      <w:color w:val="0000FF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1.xml" /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6</Pages>
  <Words>2838</Words>
  <Characters>2925</Characters>
  <Application>WPS Office_12.1.0.22215_F1E327BC-269C-435d-A152-05C5408002CA</Application>
  <DocSecurity>0</DocSecurity>
  <Lines>0</Lines>
  <Paragraphs>0</Paragraphs>
  <ScaleCrop>false</ScaleCrop>
  <Company/>
  <LinksUpToDate>false</LinksUpToDate>
  <CharactersWithSpaces>2949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乐观。</dc:creator>
  <cp:keywords/>
  <dc:description/>
  <cp:lastModifiedBy>王泽</cp:lastModifiedBy>
  <cp:revision>1</cp:revision>
  <dcterms:created xsi:type="dcterms:W3CDTF">2023-01-17T01:15:00Z</dcterms:created>
  <dcterms:modified xsi:type="dcterms:W3CDTF">2025-12-30T03:21:59Z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2052-12.1.0.22215</vt:lpwstr>
  </property>
  <property fmtid="{D5CDD505-2E9C-101B-9397-08002B2CF9AE}" pid="3" name="ICV">
    <vt:lpwstr>92E87E2204054238B1E7BBB810F0DBEB_13</vt:lpwstr>
  </property>
  <property fmtid="{D5CDD505-2E9C-101B-9397-08002B2CF9AE}" pid="4" name="KSOTemplateDocerSaveRecord">
    <vt:lpwstr>eyJoZGlkIjoiZmNiYjJhNmUyMzI1MDAzNTBiNzkzZWEyZTYyNWNiNjYiLCJ1c2VySWQiOiIyMzg5MzIxMDUifQ==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3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双鸭山市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宝山区新安街道办事处</w:t>
      </w:r>
    </w:p>
    <w:p w14:paraId="442D4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6670E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68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按照《中华人民共和国政府信息公开条例》（以下简称《条例》）《中华人民共和国政府信息公开工作年度报告格式》等文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件精神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结合新安街道办事处工作实际，特编制此报告，本报告由政府信息公开工作总体情况概述、主动公开政府信息情况、收到和处理政府信息公开申请情况、政府信息公开行政复议、行政诉讼情况、存在的主要问题及改进措施组成。本报告中所列数据的统计期限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年1月1日—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年12月31日止。如对本年度报告有任何疑问，请联系新安街道办事处（地址：宝山区新安街道二马路中段，电话：0469-4393444，电子邮箱：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"mailto:444180774yang@163.com%EF%BC%89%E3%80%82"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444180774yang@163.com）。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7437A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一、总体情况</w:t>
      </w:r>
    </w:p>
    <w:p w14:paraId="6848D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双鸭山市宝山区新安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街道办事处在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区政府的坚强领导下，严格按照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精神，结合街道实际情况，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通过街道及社区公示栏、条幅、海报、微信群和朋友圈转发等方式，不断拓宽公开渠道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，加大公开力度，持续在深化政府信息公开内容、完善政府信息公开配套工作等方面推深落实。</w:t>
      </w:r>
    </w:p>
    <w:p w14:paraId="571B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（一）主动公开情况。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2025年1月1日至2025年12月31日，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主动公开信息条312。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通过双鸭山日报、观点宝山发布新闻动态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通过办事窗口公开公示便民惠民政策、办事流程以及办理结果等方面内容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154条，通过居民网格群宣传党和国家方针政策及科普知识65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。所有公开信息全部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安全生产、政策宣传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、六助服务、人社服务圈、食品安全、科普宣传、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环境卫生综合治理、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党员活动、节日慰问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等街道重点中心工作发布相关公开信息，进一步提高政府信息公开的全面性、真实性，切实做到规定公开内容全面覆盖。</w:t>
      </w:r>
    </w:p>
    <w:p w14:paraId="32900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2025年新安街道未收到公开申请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，未出现因政务信息公开工作被申请行政复议、提起行政诉讼情况。</w:t>
      </w:r>
    </w:p>
    <w:p w14:paraId="32687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（三）政府信息管理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街道办认真落实《中华人民共和国政府信息公开条例》，严格落实日常管理责任，确保信息公开及时、准确。街道办事处高度重视政府信息公开工作，精心组织，明确职责分工，由办事处主任全面负责政府信息公开工作，各岗位工作人员负责日常管理和综合协调，确保信息公开工作高效有序运转。按照“谁主管、谁公开、谁负责”的原则，确保政府信息公开工作在每个岗位、每个环节都有人管、管得好。及时更新信息动态，进一步提升政府的执行力与公信力。</w:t>
      </w:r>
    </w:p>
    <w:p w14:paraId="6445B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（四）监督保障情况。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街道办事处高度重视，政府信息公开工作，紧密结合街道实际情况，全面统筹安排政务公开工作。同时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鼓励广大群众及街道干部积极参与政府信息公开发布的监督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广泛听取基层和群众对信息公开工作的意见和要求，充分发挥社会监督作用，确保公开内容的真实性、全面性和有效性。</w:t>
      </w:r>
    </w:p>
    <w:p w14:paraId="3C7F3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374A6C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A3A3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3432644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320B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366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C6A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309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现行有效件数</w:t>
            </w:r>
          </w:p>
        </w:tc>
      </w:tr>
      <w:tr w14:paraId="45D04C1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086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82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C24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3F3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F692F4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195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1D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1F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07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5B27C5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97C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0732B8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8C6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6BE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 w14:paraId="12C1D38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8BF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47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5012F1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AEA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1F0F5C5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0368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35E6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 w14:paraId="63D95B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4C0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73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52320A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980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EE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37A30F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2D5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3137DF3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805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D5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0C96D43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89FF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BA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C527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14:paraId="0B2C820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FE5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8541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申请人情况</w:t>
            </w:r>
          </w:p>
        </w:tc>
      </w:tr>
      <w:tr w14:paraId="1C86EAB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5F04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BAE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DF1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34D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</w:tr>
      <w:tr w14:paraId="7BBA5E9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581E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FB20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D3B3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商业</w:t>
            </w:r>
          </w:p>
          <w:p w14:paraId="12CAE0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CEF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科研</w:t>
            </w:r>
          </w:p>
          <w:p w14:paraId="3DAF67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86D1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FDB9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6CA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9F95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4DEBAF0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4E7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04C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5E3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667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99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2D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0E2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976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C2E40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E7D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56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10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C3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95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6D7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20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A09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E9C8E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A2B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6A59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24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4BA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CE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71C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484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D5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8E6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2F145F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6FF7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6F66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D3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48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39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53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E9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5F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CE5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63B8A0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C737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A1B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5C27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F88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33B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EE8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7D8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DE8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1DF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591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B9F53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C04A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973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D648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BB9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710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AA2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C70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D95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894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B7A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5C57FF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1CDD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C1ED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987E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7C6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389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B2A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6BA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83C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275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B2C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78E500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C56F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A6D6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06EF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6ED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E10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B58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40C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DA6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454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3B1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D03F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DDB0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2868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33E0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EB7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959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66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430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63E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218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6ED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8925B2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4C92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5EAA5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6EC3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1AF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FDE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109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DF7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2F9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D38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B23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242A7F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92BF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6FC51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168A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D2E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081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41C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304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322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9B9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F80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E8F90D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B195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46F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D957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6E3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601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2F2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221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7B0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275B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B28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9723F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A207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757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A7A2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DAF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CAE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320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314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0AE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2F2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687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22D349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C4A6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869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05CE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D6F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0C0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CC4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FF6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450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F52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BB5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4BD25C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E3B0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4977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A901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344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8FF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A1A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D8D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7C8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7F5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9D7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2EB5A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110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BF4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B263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8BD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794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C0C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163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B7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A0D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504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918F1B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B24D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8F4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FE5A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96A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62F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1F4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D7E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9ED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F64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F88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FB3B55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D1E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AACD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4D10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62C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7E8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CC4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525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54B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D60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4C0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19743B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EC9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8DF3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1C4E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8B7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E69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1AD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722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936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A56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2A8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3760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056B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414D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842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D65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377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577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3E8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6B8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408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45C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7BE976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E48F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5273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5E9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1F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CF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C6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01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82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58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0AB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CDF290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8163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762A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FB0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87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7B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6E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78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95A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9D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548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C14311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B46A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A849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259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3F7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18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C4A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6D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7D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DE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A6F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42558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8F44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5EA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93A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B6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9E3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EB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AA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49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571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18C9A3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4C9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E4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81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981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25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67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2E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A8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3BE2A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436C500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BE7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BEC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行政诉讼</w:t>
            </w:r>
          </w:p>
        </w:tc>
      </w:tr>
      <w:tr w14:paraId="3F74367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E11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D7D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  <w:p w14:paraId="0596E7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6B6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  <w:p w14:paraId="40CBDB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1BA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</w:p>
          <w:p w14:paraId="263C66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25D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2B8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D17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复议后起诉</w:t>
            </w:r>
          </w:p>
        </w:tc>
      </w:tr>
      <w:tr w14:paraId="12E2A28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7DA5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72DA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6BC6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B0B2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AC3D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8DF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  <w:p w14:paraId="6F6AAE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764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  <w:p w14:paraId="23931C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738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  <w:p w14:paraId="73A2EB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669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</w:p>
          <w:p w14:paraId="231F81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8A3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BE8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  <w:p w14:paraId="1B1C2F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FB3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  <w:p w14:paraId="01A62C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D14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  <w:p w14:paraId="0FBFE0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979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</w:p>
          <w:p w14:paraId="0FDB91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F43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</w:tr>
      <w:tr w14:paraId="036589C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0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8D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02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F2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9A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ED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AD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52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9D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CA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22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E1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AD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A6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9C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4E441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 w14:paraId="36C1C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存在的主要问题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年，街道圆满完成政府信息公开年度任务指标，但对照新时代政务公开工作的高标准、严要求，结合基层治理实际需求，仍存在短板弱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一是复杂场景下依申请公开处置能力存在短板。对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诉求背后的深层动因研判不足，导致在信息甄别、政策解读、沟通回应等环节存在响应滞后、精准度不足的问题，未能充分实现从“被动应对”到“主动预判”的转变。二是专业化队伍建设与工作需求存在差距。信息公开工作人员的综合素养尚未完全适配工作高质量发展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。一方面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是政策法规专业储备不扎实，对政府信息公开领域最新法律法规的理解和适用能力不足；另一方面是基层治理协同能力薄弱，在跨部门、跨层级信息协调、复杂问题统筹处置等方面缺乏有效方法，制约了工作效能提升。三是信息公开供给与公众需求匹配度不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目前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公开内容多集中于常规政务流程，对群众高度关注的民生服务、公共事务决策过程、重点工作推进成效等领域的信息覆盖不全面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63B82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下一步</w:t>
      </w:r>
      <w:r>
        <w:rPr>
          <w:rFonts w:hint="eastAsia" w:ascii="楷体_GB2312" w:hAnsi="楷体_GB2312" w:eastAsia="楷体_GB2312" w:cs="楷体_GB2312"/>
          <w:sz w:val="32"/>
          <w:szCs w:val="32"/>
        </w:rPr>
        <w:t>改进措施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年，街道将以问题为导向、以需求为牵引，聚焦深层症结，构建系统化、长效化提升机制，推动政府信息公开工作从“完成任务”向“提质增效”转变，具体措施如下：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一是结合街道实际完善信息公开工作细则、依申请公开处置流程等制度规范，明确各环节职责边界和时限要求；针对复杂疑难事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项进行会商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，联动司法、法制等专业力量，提升处置的规范性和精准性。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是推动信息公开工作“下沉一线、贴近群众”，通过社区走访、民意调研、线上征集等方式，精准掌握群众对政务信息的需求点；重点拓展民生保障、公共服务、重大项目推进、基层治理决策等领域的公开内容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确保信息的时效性和实用性。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是加强政府信息公开政策宣传解读，通过社区宣传栏、政务服务窗口、官方新媒体等渠道，向公众普及申请流程、权利边界、责任义务等知识，引导公众理性、规范提出申请；建立良性互动回应机制，对合理合法的申请快速响应、妥善处置，对不符合要求的申请耐心解释、明确指引，同时畅通意见反馈渠道，及时吸纳公众对信息公开工作的合理建议，推动形成“规范申请、高效回应、良性互动”的工作格局。</w:t>
      </w:r>
    </w:p>
    <w:p w14:paraId="7DD2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49C1F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无其他需要报告的事项。</w:t>
      </w:r>
    </w:p>
    <w:p w14:paraId="554D7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3FE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D55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tbak/modified.xml>Wed Dec 31 15:54:56 2025
save:Wed Dec 31 15:55:54 2025

</file>